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16BC" w14:textId="5F47B668" w:rsidR="00AA06A6" w:rsidRDefault="00AA06A6" w:rsidP="00AA06A6">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6090A" w:rsidRPr="0006090A">
        <w:rPr>
          <w:rFonts w:ascii="Arial" w:hAnsi="Arial" w:cs="Arial"/>
          <w:b/>
          <w:sz w:val="24"/>
          <w:szCs w:val="24"/>
        </w:rPr>
        <w:t>R4-2307131</w:t>
      </w:r>
    </w:p>
    <w:p w14:paraId="76731A16" w14:textId="77777777" w:rsidR="00AA06A6" w:rsidRDefault="00AA06A6" w:rsidP="00AA06A6">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KR, May 22 – May 26, 2023</w:t>
      </w:r>
    </w:p>
    <w:bookmarkEnd w:id="2"/>
    <w:bookmarkEnd w:id="3"/>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2BD112FA"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Pr>
          <w:rFonts w:ascii="Arial" w:eastAsia="Calibri" w:hAnsi="Arial" w:cs="Arial"/>
          <w:b/>
          <w:bCs/>
          <w:sz w:val="24"/>
        </w:rPr>
        <w:t>On Multi</w:t>
      </w:r>
      <w:r w:rsidR="00B2365A">
        <w:rPr>
          <w:rFonts w:ascii="Arial" w:eastAsia="Calibri" w:hAnsi="Arial" w:cs="Arial"/>
          <w:b/>
          <w:bCs/>
          <w:sz w:val="24"/>
        </w:rPr>
        <w:t xml:space="preserve"> </w:t>
      </w:r>
      <w:r>
        <w:rPr>
          <w:rFonts w:ascii="Arial" w:eastAsia="Calibri" w:hAnsi="Arial" w:cs="Arial"/>
          <w:b/>
          <w:bCs/>
          <w:sz w:val="24"/>
        </w:rPr>
        <w:t xml:space="preserve">Rx </w:t>
      </w:r>
      <w:r w:rsidR="000072DB">
        <w:rPr>
          <w:rFonts w:ascii="Arial" w:eastAsia="Calibri" w:hAnsi="Arial" w:cs="Arial"/>
          <w:b/>
          <w:bCs/>
          <w:sz w:val="24"/>
        </w:rPr>
        <w:t>TCI state switching requirements</w:t>
      </w:r>
    </w:p>
    <w:p w14:paraId="4FDBD526" w14:textId="71E86E88"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D26556" w:rsidRPr="00D26556">
        <w:rPr>
          <w:rFonts w:ascii="Arial" w:eastAsia="MS Mincho" w:hAnsi="Arial" w:cs="Arial"/>
          <w:b/>
          <w:bCs/>
          <w:sz w:val="24"/>
          <w:szCs w:val="20"/>
        </w:rPr>
        <w:t>8.8.3.5</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7777777" w:rsidR="00A22B33" w:rsidRPr="00EF698B" w:rsidRDefault="00A22B33" w:rsidP="00A22B33">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5087718F" w14:textId="77777777" w:rsidR="004A52BC" w:rsidRDefault="004A52BC" w:rsidP="004A52BC">
      <w:r>
        <w:t xml:space="preserve">RAN4#106bis meeting way forward </w:t>
      </w:r>
      <w:r>
        <w:fldChar w:fldCharType="begin"/>
      </w:r>
      <w:r>
        <w:instrText xml:space="preserve"> REF _Ref133392276 \r \h </w:instrText>
      </w:r>
      <w:r>
        <w:fldChar w:fldCharType="separate"/>
      </w:r>
      <w:r>
        <w:t>[1]</w:t>
      </w:r>
      <w:r>
        <w:fldChar w:fldCharType="end"/>
      </w:r>
      <w:r>
        <w:t xml:space="preserve"> captured the following agreements about TCI state switching requirements for </w:t>
      </w:r>
      <w:proofErr w:type="gramStart"/>
      <w:r>
        <w:t>multi Rx</w:t>
      </w:r>
      <w:proofErr w:type="gramEnd"/>
      <w:r>
        <w:t xml:space="preserve"> chain reception:</w:t>
      </w:r>
    </w:p>
    <w:tbl>
      <w:tblPr>
        <w:tblStyle w:val="TableGrid"/>
        <w:tblW w:w="0" w:type="auto"/>
        <w:tblLook w:val="04A0" w:firstRow="1" w:lastRow="0" w:firstColumn="1" w:lastColumn="0" w:noHBand="0" w:noVBand="1"/>
      </w:tblPr>
      <w:tblGrid>
        <w:gridCol w:w="9617"/>
      </w:tblGrid>
      <w:tr w:rsidR="004A52BC" w14:paraId="2AF2989A" w14:textId="77777777" w:rsidTr="00E81B36">
        <w:tc>
          <w:tcPr>
            <w:tcW w:w="9617" w:type="dxa"/>
          </w:tcPr>
          <w:p w14:paraId="771C4C02" w14:textId="77777777" w:rsidR="004A52BC" w:rsidRDefault="004A52BC" w:rsidP="00E81B36">
            <w:pPr>
              <w:rPr>
                <w:bCs/>
                <w:lang w:eastAsia="ko-KR"/>
              </w:rPr>
            </w:pPr>
            <w:r>
              <w:rPr>
                <w:b/>
                <w:lang w:eastAsia="ko-KR"/>
              </w:rPr>
              <w:t xml:space="preserve">Issue 2-1-1: General conditions  </w:t>
            </w:r>
          </w:p>
          <w:p w14:paraId="139CEE2D" w14:textId="77777777" w:rsidR="004A52BC" w:rsidRDefault="004A52BC" w:rsidP="00E81B36">
            <w:pPr>
              <w:spacing w:after="120"/>
              <w:rPr>
                <w:i/>
                <w:iCs/>
                <w:szCs w:val="24"/>
                <w:lang w:eastAsia="zh-CN"/>
              </w:rPr>
            </w:pPr>
            <w:r>
              <w:rPr>
                <w:i/>
                <w:iCs/>
                <w:szCs w:val="24"/>
                <w:lang w:eastAsia="zh-CN"/>
              </w:rPr>
              <w:t xml:space="preserve">Agreements: </w:t>
            </w:r>
          </w:p>
          <w:p w14:paraId="0669FB29" w14:textId="77777777" w:rsidR="004A52BC" w:rsidRDefault="004A52BC" w:rsidP="00E81B36">
            <w:pPr>
              <w:spacing w:after="120"/>
              <w:rPr>
                <w:i/>
                <w:iCs/>
                <w:szCs w:val="24"/>
                <w:lang w:eastAsia="zh-CN"/>
              </w:rPr>
            </w:pPr>
            <w:r>
              <w:rPr>
                <w:i/>
                <w:iCs/>
                <w:szCs w:val="24"/>
                <w:lang w:eastAsia="zh-CN"/>
              </w:rPr>
              <w:t>RAN4 to define TCI state switch delay requirements only for the case where to-be-activated/switched TCI state upon the TCI switch command(s) reception includes two different QCL-</w:t>
            </w:r>
            <w:proofErr w:type="spellStart"/>
            <w:r>
              <w:rPr>
                <w:i/>
                <w:iCs/>
                <w:szCs w:val="24"/>
                <w:lang w:eastAsia="zh-CN"/>
              </w:rPr>
              <w:t>TypeD</w:t>
            </w:r>
            <w:proofErr w:type="spellEnd"/>
            <w:r>
              <w:rPr>
                <w:i/>
                <w:iCs/>
                <w:szCs w:val="24"/>
                <w:lang w:eastAsia="zh-CN"/>
              </w:rPr>
              <w:t xml:space="preserve"> reference resources and the reference resources of the two TCI states are included in the group-based L1-RSRP measurement report.</w:t>
            </w:r>
          </w:p>
          <w:p w14:paraId="2AD4F9F6" w14:textId="77777777" w:rsidR="004A52BC" w:rsidRDefault="004A52BC" w:rsidP="004A52BC">
            <w:pPr>
              <w:pStyle w:val="ListParagraph"/>
              <w:numPr>
                <w:ilvl w:val="1"/>
                <w:numId w:val="43"/>
              </w:numPr>
              <w:overflowPunct w:val="0"/>
              <w:autoSpaceDE w:val="0"/>
              <w:autoSpaceDN w:val="0"/>
              <w:adjustRightInd w:val="0"/>
              <w:spacing w:after="120"/>
              <w:contextualSpacing w:val="0"/>
              <w:jc w:val="left"/>
              <w:rPr>
                <w:rFonts w:eastAsia="SimSun"/>
                <w:i/>
                <w:iCs/>
                <w:szCs w:val="24"/>
                <w:lang w:eastAsia="zh-CN"/>
              </w:rPr>
            </w:pPr>
            <w:r>
              <w:rPr>
                <w:rFonts w:eastAsia="SimSun"/>
                <w:i/>
                <w:iCs/>
                <w:szCs w:val="24"/>
                <w:lang w:eastAsia="zh-CN"/>
              </w:rPr>
              <w:t>Note: This is one of the condition and other conditions are not precluded</w:t>
            </w:r>
          </w:p>
          <w:p w14:paraId="47861055" w14:textId="77777777" w:rsidR="004A52BC" w:rsidRDefault="004A52BC" w:rsidP="004A52BC">
            <w:pPr>
              <w:pStyle w:val="ListParagraph"/>
              <w:numPr>
                <w:ilvl w:val="1"/>
                <w:numId w:val="43"/>
              </w:numPr>
              <w:overflowPunct w:val="0"/>
              <w:autoSpaceDE w:val="0"/>
              <w:autoSpaceDN w:val="0"/>
              <w:adjustRightInd w:val="0"/>
              <w:spacing w:after="120"/>
              <w:contextualSpacing w:val="0"/>
              <w:jc w:val="left"/>
              <w:rPr>
                <w:rFonts w:eastAsia="SimSun"/>
                <w:i/>
                <w:iCs/>
                <w:szCs w:val="24"/>
                <w:lang w:eastAsia="zh-CN"/>
              </w:rPr>
            </w:pPr>
            <w:r>
              <w:rPr>
                <w:rFonts w:eastAsia="SimSun"/>
                <w:i/>
                <w:iCs/>
                <w:szCs w:val="24"/>
                <w:lang w:eastAsia="zh-CN"/>
              </w:rPr>
              <w:t>Note: Only for single TCI to dual TCI and dual TCI to dual TCI.</w:t>
            </w:r>
          </w:p>
          <w:p w14:paraId="7D2D6F08" w14:textId="77777777" w:rsidR="004A52BC" w:rsidRDefault="004A52BC" w:rsidP="00E81B36">
            <w:pPr>
              <w:rPr>
                <w:rFonts w:eastAsia="SimSun"/>
                <w:iCs/>
                <w:szCs w:val="20"/>
                <w:lang w:eastAsia="zh-CN"/>
              </w:rPr>
            </w:pPr>
          </w:p>
          <w:p w14:paraId="53098429" w14:textId="77777777" w:rsidR="004A52BC" w:rsidRDefault="004A52BC" w:rsidP="00E81B36">
            <w:pPr>
              <w:rPr>
                <w:b/>
                <w:lang w:eastAsia="ko-KR"/>
              </w:rPr>
            </w:pPr>
            <w:r>
              <w:rPr>
                <w:b/>
                <w:lang w:eastAsia="ko-KR"/>
              </w:rPr>
              <w:t>Issue 2-1-5: Other issues or proposals for further discussion</w:t>
            </w:r>
          </w:p>
          <w:p w14:paraId="2F1FF548" w14:textId="77777777" w:rsidR="004A52BC" w:rsidRDefault="004A52BC" w:rsidP="00E81B36">
            <w:pPr>
              <w:rPr>
                <w:rFonts w:eastAsiaTheme="minorEastAsia"/>
                <w:i/>
                <w:lang w:eastAsia="zh-CN"/>
              </w:rPr>
            </w:pPr>
            <w:r>
              <w:rPr>
                <w:rFonts w:eastAsiaTheme="minorEastAsia"/>
                <w:i/>
                <w:lang w:eastAsia="zh-CN"/>
              </w:rPr>
              <w:t>Agreements: RAN4 not to discuss TCI state switching requirements for following cases in this WI</w:t>
            </w:r>
          </w:p>
          <w:p w14:paraId="7811A392" w14:textId="77777777" w:rsidR="004A52BC" w:rsidRDefault="004A52BC" w:rsidP="004A52BC">
            <w:pPr>
              <w:pStyle w:val="ListParagraph"/>
              <w:numPr>
                <w:ilvl w:val="0"/>
                <w:numId w:val="44"/>
              </w:numPr>
              <w:overflowPunct w:val="0"/>
              <w:autoSpaceDE w:val="0"/>
              <w:autoSpaceDN w:val="0"/>
              <w:adjustRightInd w:val="0"/>
              <w:spacing w:after="180"/>
              <w:contextualSpacing w:val="0"/>
              <w:jc w:val="left"/>
              <w:rPr>
                <w:rFonts w:eastAsiaTheme="minorEastAsia"/>
                <w:i/>
                <w:lang w:eastAsia="zh-CN"/>
              </w:rPr>
            </w:pPr>
            <w:r>
              <w:rPr>
                <w:rFonts w:eastAsiaTheme="minorEastAsia"/>
                <w:i/>
                <w:lang w:eastAsia="zh-CN"/>
              </w:rPr>
              <w:t>Dual TCI switching in SFN</w:t>
            </w:r>
          </w:p>
          <w:p w14:paraId="57BCFEC4" w14:textId="77777777" w:rsidR="004A52BC" w:rsidRDefault="004A52BC" w:rsidP="004A52BC">
            <w:pPr>
              <w:pStyle w:val="ListParagraph"/>
              <w:numPr>
                <w:ilvl w:val="0"/>
                <w:numId w:val="44"/>
              </w:numPr>
              <w:overflowPunct w:val="0"/>
              <w:autoSpaceDE w:val="0"/>
              <w:autoSpaceDN w:val="0"/>
              <w:adjustRightInd w:val="0"/>
              <w:spacing w:after="180"/>
              <w:contextualSpacing w:val="0"/>
              <w:jc w:val="left"/>
              <w:rPr>
                <w:rFonts w:eastAsiaTheme="minorEastAsia"/>
                <w:i/>
                <w:lang w:eastAsia="zh-CN"/>
              </w:rPr>
            </w:pPr>
            <w:r>
              <w:rPr>
                <w:rFonts w:eastAsiaTheme="minorEastAsia"/>
                <w:i/>
                <w:lang w:eastAsia="zh-CN"/>
              </w:rPr>
              <w:t>FFS: PDCCH with repetition.</w:t>
            </w:r>
          </w:p>
          <w:p w14:paraId="0886803F" w14:textId="77777777" w:rsidR="004A52BC" w:rsidRDefault="004A52BC" w:rsidP="00E81B36"/>
        </w:tc>
      </w:tr>
    </w:tbl>
    <w:p w14:paraId="37D509C3" w14:textId="77777777" w:rsidR="004A52BC" w:rsidRDefault="004A52BC" w:rsidP="004A52BC"/>
    <w:p w14:paraId="02E45210" w14:textId="7F4F77CC" w:rsidR="004A52BC" w:rsidRDefault="004A52BC" w:rsidP="004A52BC">
      <w:r>
        <w:t xml:space="preserve">Taking into account these agreements about the scope of the work item, we continue the discussion about </w:t>
      </w:r>
      <w:proofErr w:type="gramStart"/>
      <w:r>
        <w:t>multi Rx TCI</w:t>
      </w:r>
      <w:proofErr w:type="gramEnd"/>
      <w:r>
        <w:t xml:space="preserve"> state switching requirements</w:t>
      </w:r>
      <w:r w:rsidR="00D26556">
        <w:t xml:space="preserve"> in this contribution</w:t>
      </w:r>
      <w:r>
        <w:t>.</w:t>
      </w:r>
    </w:p>
    <w:p w14:paraId="5B55DE79" w14:textId="77777777" w:rsidR="004A52BC" w:rsidRDefault="004A52BC" w:rsidP="004A52BC">
      <w:pPr>
        <w:pStyle w:val="RAN4H1"/>
      </w:pPr>
      <w:r>
        <w:t>DCI based TCI state switching</w:t>
      </w:r>
    </w:p>
    <w:p w14:paraId="08449C41" w14:textId="5716D0D8" w:rsidR="004A52BC" w:rsidRPr="006175DF" w:rsidRDefault="004A52BC" w:rsidP="004A52BC">
      <w:pPr>
        <w:pStyle w:val="RAN4H2"/>
      </w:pPr>
      <w:r w:rsidRPr="006175DF">
        <w:t>Single</w:t>
      </w:r>
      <w:r w:rsidR="00D26556">
        <w:t>-</w:t>
      </w:r>
      <w:r w:rsidRPr="006175DF">
        <w:t>DCI</w:t>
      </w:r>
    </w:p>
    <w:p w14:paraId="4B2B2A5A" w14:textId="59AA8463" w:rsidR="004A52BC" w:rsidRPr="006175DF" w:rsidRDefault="004A52BC" w:rsidP="004A52BC">
      <w:pPr>
        <w:rPr>
          <w:rStyle w:val="eop"/>
        </w:rPr>
      </w:pPr>
      <w:r w:rsidRPr="006175DF">
        <w:rPr>
          <w:lang w:val="en-GB"/>
        </w:rPr>
        <w:t>In single</w:t>
      </w:r>
      <w:r w:rsidR="00D26556">
        <w:rPr>
          <w:lang w:val="en-GB"/>
        </w:rPr>
        <w:t>-</w:t>
      </w:r>
      <w:r w:rsidRPr="006175DF">
        <w:rPr>
          <w:lang w:val="en-GB"/>
        </w:rPr>
        <w:t xml:space="preserve">DCI scenario, </w:t>
      </w:r>
      <w:r w:rsidRPr="006175DF">
        <w:rPr>
          <w:rStyle w:val="eop"/>
        </w:rPr>
        <w:t>a single</w:t>
      </w:r>
      <w:r w:rsidR="00D26556">
        <w:rPr>
          <w:rStyle w:val="eop"/>
        </w:rPr>
        <w:t>-</w:t>
      </w:r>
      <w:r w:rsidRPr="006175DF">
        <w:rPr>
          <w:rStyle w:val="eop"/>
        </w:rPr>
        <w:t xml:space="preserve">DCI is used to indicate both TCI states. RAN1 has already specified that TCI switching is related to the </w:t>
      </w:r>
      <w:proofErr w:type="spellStart"/>
      <w:r w:rsidRPr="006175DF">
        <w:t>timeDurationForQCL</w:t>
      </w:r>
      <w:proofErr w:type="spellEnd"/>
      <w:r w:rsidRPr="006175DF">
        <w:t xml:space="preserve">, which means that both TCI states should be ready for receiving PDSCH after </w:t>
      </w:r>
      <w:proofErr w:type="spellStart"/>
      <w:r w:rsidRPr="006175DF">
        <w:t>timeDurationForQCL</w:t>
      </w:r>
      <w:proofErr w:type="spellEnd"/>
      <w:r w:rsidRPr="006175DF">
        <w:t>. Whether the target is single or dual TCI states makes no difference, so legacy requirements can be reused for DCI-based switch to dual TCI states.</w:t>
      </w:r>
    </w:p>
    <w:p w14:paraId="725F9279" w14:textId="0E518036" w:rsidR="004A52BC" w:rsidRPr="00C674F1" w:rsidRDefault="5842E8A6">
      <w:pPr>
        <w:pStyle w:val="RAN4proposal"/>
        <w:numPr>
          <w:ilvl w:val="0"/>
          <w:numId w:val="8"/>
        </w:numPr>
      </w:pPr>
      <w:bookmarkStart w:id="5" w:name="_Toc133324105"/>
      <w:bookmarkStart w:id="6" w:name="_Toc135068268"/>
      <w:r>
        <w:t>For single</w:t>
      </w:r>
      <w:r w:rsidR="00D26556">
        <w:t>-</w:t>
      </w:r>
      <w:r>
        <w:t>DCI scenario, RAN4 to reuse Rel-16 requirements for the case of DCI</w:t>
      </w:r>
      <w:r w:rsidR="00D26556">
        <w:t xml:space="preserve"> </w:t>
      </w:r>
      <w:r>
        <w:t>based TCI switching for PDSCH.</w:t>
      </w:r>
      <w:bookmarkEnd w:id="5"/>
      <w:bookmarkEnd w:id="6"/>
    </w:p>
    <w:p w14:paraId="57832C29" w14:textId="640CB8B5" w:rsidR="004A52BC" w:rsidRPr="00D65BF1" w:rsidRDefault="5842E8A6" w:rsidP="004A52BC">
      <w:pPr>
        <w:pStyle w:val="RAN4H2"/>
      </w:pPr>
      <w:r>
        <w:t>Multi</w:t>
      </w:r>
      <w:r w:rsidR="00D26556">
        <w:t>-</w:t>
      </w:r>
      <w:r>
        <w:t>DCI</w:t>
      </w:r>
    </w:p>
    <w:p w14:paraId="5E41F2A4" w14:textId="0FB0E38C" w:rsidR="004A52BC" w:rsidRDefault="004A52BC" w:rsidP="004A52BC">
      <w:r>
        <w:t>In case of multi</w:t>
      </w:r>
      <w:r w:rsidR="00D26556">
        <w:t>-</w:t>
      </w:r>
      <w:r>
        <w:t xml:space="preserve">DCI based TCI state switching, the UE is expected to receive DCI commands for each PDSCH independently, and therefore will have two TCI states indicated for PDCCH and two TCI states indicated for PDSCH as in </w:t>
      </w:r>
      <w:r>
        <w:fldChar w:fldCharType="begin"/>
      </w:r>
      <w:r>
        <w:instrText xml:space="preserve"> REF _Ref131676601 \h </w:instrText>
      </w:r>
      <w:r>
        <w:fldChar w:fldCharType="separate"/>
      </w:r>
      <w:r>
        <w:t xml:space="preserve">Figure </w:t>
      </w:r>
      <w:r>
        <w:rPr>
          <w:noProof/>
        </w:rPr>
        <w:t>1</w:t>
      </w:r>
      <w:r>
        <w:fldChar w:fldCharType="end"/>
      </w:r>
      <w:r>
        <w:t xml:space="preserve">. </w:t>
      </w:r>
    </w:p>
    <w:p w14:paraId="23065DF0" w14:textId="77777777" w:rsidR="004A52BC" w:rsidRDefault="004A52BC" w:rsidP="004A52BC">
      <w:pPr>
        <w:jc w:val="center"/>
      </w:pPr>
      <w:r w:rsidRPr="00F11E82">
        <w:rPr>
          <w:noProof/>
        </w:rPr>
        <w:lastRenderedPageBreak/>
        <w:drawing>
          <wp:inline distT="0" distB="0" distL="0" distR="0" wp14:anchorId="0B5F6FA8" wp14:editId="674B444A">
            <wp:extent cx="2849059" cy="1416050"/>
            <wp:effectExtent l="19050" t="19050" r="27940" b="1270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9059" cy="1416050"/>
                    </a:xfrm>
                    <a:prstGeom prst="rect">
                      <a:avLst/>
                    </a:prstGeom>
                    <a:noFill/>
                    <a:ln w="0">
                      <a:solidFill>
                        <a:schemeClr val="tx1"/>
                      </a:solidFill>
                    </a:ln>
                  </pic:spPr>
                </pic:pic>
              </a:graphicData>
            </a:graphic>
          </wp:inline>
        </w:drawing>
      </w:r>
    </w:p>
    <w:p w14:paraId="464E8A4B" w14:textId="19DBDD89" w:rsidR="004A52BC" w:rsidRDefault="004A52BC" w:rsidP="004A52BC">
      <w:pPr>
        <w:pStyle w:val="Caption"/>
        <w:rPr>
          <w:b/>
          <w:bCs/>
        </w:rPr>
      </w:pPr>
      <w:bookmarkStart w:id="7" w:name="_Ref131676601"/>
      <w:r>
        <w:t xml:space="preserve">Figure </w:t>
      </w:r>
      <w:fldSimple w:instr=" SEQ Figure \* ARABIC ">
        <w:r w:rsidR="00BC2A9E">
          <w:rPr>
            <w:noProof/>
          </w:rPr>
          <w:t>1</w:t>
        </w:r>
      </w:fldSimple>
      <w:bookmarkEnd w:id="7"/>
      <w:r w:rsidRPr="001F7050">
        <w:rPr>
          <w:bCs/>
        </w:rPr>
        <w:t xml:space="preserve">: m-DCI </w:t>
      </w:r>
      <w:r w:rsidRPr="001F7050">
        <w:rPr>
          <w:bCs/>
        </w:rPr>
        <w:tab/>
      </w:r>
    </w:p>
    <w:p w14:paraId="6D5C2FBD" w14:textId="2930B899" w:rsidR="00DC6B94" w:rsidRDefault="004A52BC" w:rsidP="00DC6B94">
      <w:r>
        <w:t>Since the TCI state for PDSCH for each link is indicated with separate DCIs, each DCI indicates only one TCI state.</w:t>
      </w:r>
      <w:r w:rsidR="00DC6B94">
        <w:t xml:space="preserve"> </w:t>
      </w:r>
      <w:r w:rsidR="00D26556">
        <w:t xml:space="preserve">According to the RAN1 specification, the delay </w:t>
      </w:r>
      <w:proofErr w:type="spellStart"/>
      <w:r w:rsidR="00D26556" w:rsidRPr="006175DF">
        <w:t>timeDurationForQCL</w:t>
      </w:r>
      <w:proofErr w:type="spellEnd"/>
      <w:r w:rsidR="00D26556">
        <w:t xml:space="preserve"> applies independent of whether the DCIs from two TRPs are received simultaneously or non-simultaneously in the multi-DCI scenario. </w:t>
      </w:r>
      <w:r w:rsidR="00DC6B94">
        <w:t>Hence, legacy requirements apply per each TRP.</w:t>
      </w:r>
    </w:p>
    <w:p w14:paraId="3136EB28" w14:textId="09BA8F1E" w:rsidR="004A52BC" w:rsidRPr="00C055F6" w:rsidRDefault="5842E8A6" w:rsidP="004A52BC">
      <w:pPr>
        <w:pStyle w:val="RAN4proposal"/>
        <w:numPr>
          <w:ilvl w:val="0"/>
          <w:numId w:val="8"/>
        </w:numPr>
      </w:pPr>
      <w:bookmarkStart w:id="8" w:name="_Toc133324109"/>
      <w:bookmarkStart w:id="9" w:name="_Toc135068269"/>
      <w:r>
        <w:t>For multi-DCI scenario</w:t>
      </w:r>
      <w:r w:rsidR="5728E394">
        <w:t xml:space="preserve">, </w:t>
      </w:r>
      <w:r w:rsidR="7C0236FC">
        <w:t xml:space="preserve">DCI based TCI state switch </w:t>
      </w:r>
      <w:r w:rsidR="3C2EDA55">
        <w:t xml:space="preserve">is per TRP. Hence </w:t>
      </w:r>
      <w:r w:rsidR="1B81A06B">
        <w:t>legacy require</w:t>
      </w:r>
      <w:r w:rsidR="00D26556">
        <w:t>ment</w:t>
      </w:r>
      <w:r w:rsidR="1B81A06B">
        <w:t xml:space="preserve"> can be reused</w:t>
      </w:r>
      <w:bookmarkEnd w:id="8"/>
      <w:r w:rsidR="002F3647">
        <w:t xml:space="preserve"> and applied per TRP</w:t>
      </w:r>
      <w:r w:rsidR="00C51183">
        <w:t>.</w:t>
      </w:r>
      <w:bookmarkEnd w:id="9"/>
    </w:p>
    <w:p w14:paraId="22E833ED" w14:textId="77777777" w:rsidR="004A52BC" w:rsidRDefault="004A52BC" w:rsidP="004A52BC">
      <w:pPr>
        <w:pStyle w:val="RAN4H1"/>
      </w:pPr>
      <w:r>
        <w:t>MAC-CE based TCI state switching</w:t>
      </w:r>
    </w:p>
    <w:p w14:paraId="411CCF22" w14:textId="349C1CE1" w:rsidR="004A52BC" w:rsidRPr="00364D8D" w:rsidRDefault="004A52BC" w:rsidP="004A52BC">
      <w:pPr>
        <w:pStyle w:val="RAN4H2"/>
      </w:pPr>
      <w:r>
        <w:t>Single</w:t>
      </w:r>
      <w:r w:rsidR="00D26556">
        <w:t>-</w:t>
      </w:r>
      <w:r>
        <w:t>DCI</w:t>
      </w:r>
    </w:p>
    <w:p w14:paraId="0943227F" w14:textId="19243250" w:rsidR="004A52BC" w:rsidRDefault="004A52BC" w:rsidP="004A52BC">
      <w:pPr>
        <w:rPr>
          <w:rStyle w:val="eop"/>
        </w:rPr>
      </w:pPr>
      <w:r>
        <w:rPr>
          <w:rStyle w:val="normaltextrun"/>
        </w:rPr>
        <w:t>In single</w:t>
      </w:r>
      <w:r w:rsidR="008E6FBA">
        <w:rPr>
          <w:rStyle w:val="normaltextrun"/>
        </w:rPr>
        <w:t>-</w:t>
      </w:r>
      <w:r>
        <w:rPr>
          <w:rStyle w:val="normaltextrun"/>
        </w:rPr>
        <w:t>DCI scenario, PDCCH is transmitted from single TRP only. Therefore, for</w:t>
      </w:r>
      <w:r w:rsidRPr="00BC729A">
        <w:rPr>
          <w:rStyle w:val="normaltextrun"/>
        </w:rPr>
        <w:t xml:space="preserve"> </w:t>
      </w:r>
      <w:r>
        <w:rPr>
          <w:rStyle w:val="normaltextrun"/>
        </w:rPr>
        <w:t>PDCCH non-SFN scenario,</w:t>
      </w:r>
      <w:r>
        <w:rPr>
          <w:rStyle w:val="eop"/>
        </w:rPr>
        <w:t xml:space="preserve"> a MAC-CE is used to indicate a single TCI state. Therefore, the scenario is </w:t>
      </w:r>
      <w:proofErr w:type="gramStart"/>
      <w:r>
        <w:rPr>
          <w:rStyle w:val="eop"/>
        </w:rPr>
        <w:t>similar to</w:t>
      </w:r>
      <w:proofErr w:type="gramEnd"/>
      <w:r>
        <w:rPr>
          <w:rStyle w:val="eop"/>
        </w:rPr>
        <w:t xml:space="preserve"> legacy and the existing legacy requirements apply. </w:t>
      </w:r>
    </w:p>
    <w:p w14:paraId="6F8F1F20" w14:textId="011A1A6B" w:rsidR="004A52BC" w:rsidRDefault="5842E8A6" w:rsidP="004A52BC">
      <w:pPr>
        <w:pStyle w:val="RAN4proposal"/>
        <w:numPr>
          <w:ilvl w:val="0"/>
          <w:numId w:val="8"/>
        </w:numPr>
        <w:rPr>
          <w:rStyle w:val="eop"/>
        </w:rPr>
      </w:pPr>
      <w:r w:rsidRPr="78702F4F">
        <w:rPr>
          <w:rStyle w:val="eop"/>
        </w:rPr>
        <w:t xml:space="preserve">  </w:t>
      </w:r>
      <w:bookmarkStart w:id="10" w:name="_Toc133324110"/>
      <w:bookmarkStart w:id="11" w:name="_Toc135068270"/>
      <w:r w:rsidRPr="78702F4F">
        <w:rPr>
          <w:rStyle w:val="eop"/>
        </w:rPr>
        <w:t>In</w:t>
      </w:r>
      <w:r w:rsidR="008E6FBA">
        <w:rPr>
          <w:rStyle w:val="eop"/>
        </w:rPr>
        <w:t xml:space="preserve"> </w:t>
      </w:r>
      <w:r w:rsidRPr="78702F4F">
        <w:rPr>
          <w:rStyle w:val="eop"/>
        </w:rPr>
        <w:t>single</w:t>
      </w:r>
      <w:r w:rsidR="008E6FBA">
        <w:rPr>
          <w:rStyle w:val="eop"/>
        </w:rPr>
        <w:t>-</w:t>
      </w:r>
      <w:r w:rsidRPr="78702F4F">
        <w:rPr>
          <w:rStyle w:val="eop"/>
        </w:rPr>
        <w:t>DCI scenario, legacy TCI state switching requirements apply for MAC-CE based TCI indication method for PDCCH.</w:t>
      </w:r>
      <w:bookmarkEnd w:id="10"/>
      <w:bookmarkEnd w:id="11"/>
    </w:p>
    <w:p w14:paraId="1C20F94B" w14:textId="77777777" w:rsidR="004A52BC" w:rsidRPr="00364D8D" w:rsidRDefault="004A52BC" w:rsidP="004A52BC">
      <w:pPr>
        <w:pStyle w:val="RAN4H2"/>
      </w:pPr>
      <w:r>
        <w:t>Multi-DCI</w:t>
      </w:r>
    </w:p>
    <w:p w14:paraId="380860A1" w14:textId="77777777" w:rsidR="004A52BC" w:rsidRDefault="004A52BC" w:rsidP="004A52BC">
      <w:r>
        <w:t xml:space="preserve">In multi-DCI scenario, PDCCH is transmitted from each TRP separately. Hence, MAC-CE based TCI state switch for PDCCH considers only one TRP at a time </w:t>
      </w:r>
      <w:proofErr w:type="gramStart"/>
      <w:r>
        <w:t>i.e.</w:t>
      </w:r>
      <w:proofErr w:type="gramEnd"/>
      <w:r>
        <w:t xml:space="preserve"> TCI state switch is done separately for each TRP and each MAC-CE command only includes one TCI state. Hence, legacy requirements apply per each TRP.</w:t>
      </w:r>
    </w:p>
    <w:p w14:paraId="346FC4AD" w14:textId="77777777" w:rsidR="004A52BC" w:rsidRPr="0022001A" w:rsidRDefault="5842E8A6" w:rsidP="004A52BC">
      <w:pPr>
        <w:pStyle w:val="RAN4proposal"/>
        <w:numPr>
          <w:ilvl w:val="0"/>
          <w:numId w:val="8"/>
        </w:numPr>
        <w:rPr>
          <w:lang w:val="en-GB"/>
        </w:rPr>
      </w:pPr>
      <w:bookmarkStart w:id="12" w:name="_Toc133324111"/>
      <w:bookmarkStart w:id="13" w:name="_Toc135068271"/>
      <w:r>
        <w:t>In multi-DCI scenario, legacy requirements for MAC-CE based TCI state switch for PDCCH apply per TRP.</w:t>
      </w:r>
      <w:bookmarkStart w:id="14" w:name="_Toc131594377"/>
      <w:bookmarkStart w:id="15" w:name="_Toc131594559"/>
      <w:bookmarkStart w:id="16" w:name="_Toc131594378"/>
      <w:bookmarkStart w:id="17" w:name="_Toc131594560"/>
      <w:bookmarkStart w:id="18" w:name="_Toc131594379"/>
      <w:bookmarkStart w:id="19" w:name="_Toc131594561"/>
      <w:bookmarkStart w:id="20" w:name="_Toc131594380"/>
      <w:bookmarkStart w:id="21" w:name="_Toc131594562"/>
      <w:bookmarkStart w:id="22" w:name="_Toc131594381"/>
      <w:bookmarkStart w:id="23" w:name="_Toc131594563"/>
      <w:bookmarkStart w:id="24" w:name="_Toc131594382"/>
      <w:bookmarkStart w:id="25" w:name="_Toc131594564"/>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D8DF90" w14:textId="77777777" w:rsidR="004A52BC" w:rsidRPr="00E57074" w:rsidRDefault="004A52BC" w:rsidP="004A52BC">
      <w:pPr>
        <w:pStyle w:val="RAN4H1"/>
      </w:pPr>
      <w:r w:rsidRPr="00E57074">
        <w:t>RRC based TCI state switching</w:t>
      </w:r>
    </w:p>
    <w:p w14:paraId="5AEB4580" w14:textId="33009DC8" w:rsidR="008E6FBA" w:rsidRDefault="004A52BC" w:rsidP="004A52BC">
      <w:r>
        <w:t xml:space="preserve">In case of </w:t>
      </w:r>
      <w:r w:rsidRPr="00F61D83">
        <w:t xml:space="preserve">a </w:t>
      </w:r>
      <w:r>
        <w:t xml:space="preserve">single to dual TCI state switch for PDCCH, </w:t>
      </w:r>
      <w:r w:rsidRPr="004F7A22">
        <w:t xml:space="preserve">which is essentially a </w:t>
      </w:r>
      <w:r>
        <w:t xml:space="preserve">switch between single-DCI </w:t>
      </w:r>
      <w:r w:rsidR="008E6FBA">
        <w:t>and multi-DCI s</w:t>
      </w:r>
      <w:r w:rsidRPr="004F7A22">
        <w:t>cenario</w:t>
      </w:r>
      <w:r>
        <w:t>s</w:t>
      </w:r>
      <w:r w:rsidRPr="004F7A22">
        <w:t xml:space="preserve">, </w:t>
      </w:r>
      <w:r>
        <w:t xml:space="preserve">RRC based TCI state signaling requirements will apply. </w:t>
      </w:r>
    </w:p>
    <w:p w14:paraId="39B1D248" w14:textId="77777777" w:rsidR="008E6FBA" w:rsidRDefault="008E6FBA" w:rsidP="004A52BC"/>
    <w:p w14:paraId="70DBFBF5" w14:textId="0F11BA1F" w:rsidR="001E2F8A" w:rsidRDefault="001E2F8A" w:rsidP="001E2F8A">
      <w:pPr>
        <w:jc w:val="center"/>
      </w:pPr>
      <w:r>
        <w:object w:dxaOrig="16211" w:dyaOrig="3911" w14:anchorId="4CB57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pt;height:87.45pt"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Visio.Drawing.15" ShapeID="_x0000_i1025" DrawAspect="Content" ObjectID="_1745691602" r:id="rId15"/>
        </w:object>
      </w:r>
    </w:p>
    <w:p w14:paraId="686DD2E3" w14:textId="5F262946" w:rsidR="001E2F8A" w:rsidRDefault="001E2F8A" w:rsidP="001E2F8A">
      <w:pPr>
        <w:pStyle w:val="Caption"/>
      </w:pPr>
      <w:r>
        <w:t xml:space="preserve">Figure </w:t>
      </w:r>
      <w:fldSimple w:instr=" SEQ Figure \* ARABIC ">
        <w:r w:rsidR="00BC2A9E">
          <w:rPr>
            <w:noProof/>
          </w:rPr>
          <w:t>2</w:t>
        </w:r>
      </w:fldSimple>
      <w:r>
        <w:t xml:space="preserve">:Single </w:t>
      </w:r>
      <w:r w:rsidRPr="00F61D83">
        <w:t xml:space="preserve">to </w:t>
      </w:r>
      <w:r>
        <w:t>dual</w:t>
      </w:r>
      <w:r w:rsidRPr="00F61D83">
        <w:t xml:space="preserve"> TCI state switch for PDCCH</w:t>
      </w:r>
    </w:p>
    <w:p w14:paraId="0AE53CD0" w14:textId="6A607BFC" w:rsidR="004A52BC" w:rsidRDefault="00681F72" w:rsidP="00010A4F">
      <w:pPr>
        <w:pStyle w:val="Caption"/>
        <w:rPr>
          <w:lang w:val="en-GB"/>
        </w:rPr>
      </w:pPr>
      <w:r>
        <w:rPr>
          <w:noProof/>
        </w:rPr>
        <w:lastRenderedPageBreak/>
        <w:drawing>
          <wp:inline distT="0" distB="0" distL="0" distR="0" wp14:anchorId="625FB872" wp14:editId="1CC4C9C6">
            <wp:extent cx="4752069" cy="2837815"/>
            <wp:effectExtent l="19050" t="19050" r="1079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59458" cy="2842227"/>
                    </a:xfrm>
                    <a:prstGeom prst="rect">
                      <a:avLst/>
                    </a:prstGeom>
                    <a:ln w="0">
                      <a:solidFill>
                        <a:schemeClr val="tx1">
                          <a:alpha val="93000"/>
                        </a:schemeClr>
                      </a:solidFill>
                    </a:ln>
                  </pic:spPr>
                </pic:pic>
              </a:graphicData>
            </a:graphic>
          </wp:inline>
        </w:drawing>
      </w:r>
    </w:p>
    <w:p w14:paraId="0CCACB86" w14:textId="0FFC8B46" w:rsidR="004A52BC" w:rsidRDefault="00BC2A9E" w:rsidP="00BC2A9E">
      <w:pPr>
        <w:pStyle w:val="Caption"/>
        <w:rPr>
          <w:b/>
          <w:bCs/>
        </w:rPr>
      </w:pPr>
      <w:bookmarkStart w:id="26" w:name="_Ref134817934"/>
      <w:bookmarkStart w:id="27" w:name="_Ref131609259"/>
      <w:r>
        <w:t xml:space="preserve">Figure </w:t>
      </w:r>
      <w:fldSimple w:instr=" SEQ Figure \* ARABIC ">
        <w:r>
          <w:rPr>
            <w:noProof/>
          </w:rPr>
          <w:t>3</w:t>
        </w:r>
      </w:fldSimple>
      <w:bookmarkEnd w:id="26"/>
      <w:r w:rsidR="004A52BC">
        <w:t>: s-DCI to m-DCI switch via RRC reconfiguration</w:t>
      </w:r>
      <w:bookmarkEnd w:id="27"/>
    </w:p>
    <w:p w14:paraId="5AEE87AE" w14:textId="13282147" w:rsidR="004A52BC" w:rsidRPr="00DE61B6" w:rsidRDefault="00746A3F" w:rsidP="004A52BC">
      <w:pPr>
        <w:rPr>
          <w:lang w:eastAsia="zh-CN"/>
        </w:rPr>
      </w:pPr>
      <w:r>
        <w:rPr>
          <w:lang w:eastAsia="zh-CN"/>
        </w:rPr>
        <w:fldChar w:fldCharType="begin"/>
      </w:r>
      <w:r>
        <w:rPr>
          <w:lang w:eastAsia="zh-CN"/>
        </w:rPr>
        <w:instrText xml:space="preserve"> REF _Ref134817934 \h </w:instrText>
      </w:r>
      <w:r>
        <w:rPr>
          <w:lang w:eastAsia="zh-CN"/>
        </w:rPr>
      </w:r>
      <w:r>
        <w:rPr>
          <w:lang w:eastAsia="zh-CN"/>
        </w:rPr>
        <w:fldChar w:fldCharType="separate"/>
      </w:r>
      <w:r>
        <w:t xml:space="preserve">Figure </w:t>
      </w:r>
      <w:r>
        <w:rPr>
          <w:noProof/>
        </w:rPr>
        <w:t>3</w:t>
      </w:r>
      <w:r>
        <w:rPr>
          <w:lang w:eastAsia="zh-CN"/>
        </w:rPr>
        <w:fldChar w:fldCharType="end"/>
      </w:r>
      <w:r w:rsidR="00C71A69">
        <w:rPr>
          <w:lang w:eastAsia="zh-CN"/>
        </w:rPr>
        <w:t xml:space="preserve"> </w:t>
      </w:r>
      <w:r w:rsidR="004A52BC" w:rsidRPr="005E0A1D">
        <w:rPr>
          <w:lang w:eastAsia="zh-CN"/>
        </w:rPr>
        <w:t>shows a single DCI to multi-DCI switch. Here the UE is initially configured for single</w:t>
      </w:r>
      <w:r w:rsidR="004A52BC">
        <w:rPr>
          <w:lang w:eastAsia="zh-CN"/>
        </w:rPr>
        <w:t>-</w:t>
      </w:r>
      <w:r w:rsidR="004A52BC" w:rsidRPr="005E0A1D">
        <w:rPr>
          <w:lang w:eastAsia="zh-CN"/>
        </w:rPr>
        <w:t xml:space="preserve">DCI where PDCCH is indicated for only </w:t>
      </w:r>
      <w:r w:rsidR="004A52BC">
        <w:rPr>
          <w:lang w:eastAsia="zh-CN"/>
        </w:rPr>
        <w:t>one</w:t>
      </w:r>
      <w:r w:rsidR="004A52BC" w:rsidRPr="005E0A1D">
        <w:rPr>
          <w:lang w:eastAsia="zh-CN"/>
        </w:rPr>
        <w:t xml:space="preserve"> TRP. In step 1, the UE is configured via RRC reconfiguration </w:t>
      </w:r>
      <w:r w:rsidR="00A871FB">
        <w:rPr>
          <w:lang w:eastAsia="zh-CN"/>
        </w:rPr>
        <w:t xml:space="preserve">with a second CORESET </w:t>
      </w:r>
      <w:r w:rsidR="004A52BC" w:rsidRPr="005E0A1D">
        <w:rPr>
          <w:lang w:eastAsia="zh-CN"/>
        </w:rPr>
        <w:t xml:space="preserve">to use multi-DCI. Since </w:t>
      </w:r>
      <w:r w:rsidR="004A52BC">
        <w:rPr>
          <w:lang w:eastAsia="zh-CN"/>
        </w:rPr>
        <w:t>t</w:t>
      </w:r>
      <w:r w:rsidR="004A52BC" w:rsidRPr="009C5807">
        <w:rPr>
          <w:lang w:eastAsia="zh-CN"/>
        </w:rPr>
        <w:t xml:space="preserve">he </w:t>
      </w:r>
      <w:r w:rsidR="004A52BC">
        <w:rPr>
          <w:lang w:eastAsia="zh-CN"/>
        </w:rPr>
        <w:t xml:space="preserve">current </w:t>
      </w:r>
      <w:r w:rsidR="004A52BC" w:rsidRPr="009C5807">
        <w:rPr>
          <w:lang w:eastAsia="zh-CN"/>
        </w:rPr>
        <w:t xml:space="preserve">requirements for RRC based TCI state switch delay apply when only </w:t>
      </w:r>
      <w:r w:rsidR="004A52BC">
        <w:rPr>
          <w:lang w:eastAsia="zh-CN"/>
        </w:rPr>
        <w:t>one</w:t>
      </w:r>
      <w:r w:rsidR="004A52BC" w:rsidRPr="009C5807">
        <w:rPr>
          <w:lang w:eastAsia="zh-CN"/>
        </w:rPr>
        <w:t xml:space="preserve"> TCI state is configured in RRC TCI state list</w:t>
      </w:r>
      <w:r w:rsidR="004A52BC">
        <w:rPr>
          <w:lang w:eastAsia="zh-CN"/>
        </w:rPr>
        <w:t xml:space="preserve">, </w:t>
      </w:r>
      <w:r w:rsidR="004A52BC" w:rsidRPr="00DE61B6">
        <w:rPr>
          <w:lang w:eastAsia="zh-CN"/>
        </w:rPr>
        <w:t xml:space="preserve">this needs to be updated to reflect the switch from single-DCI to multi-DCI where the UE will receive two target TCI states.  </w:t>
      </w:r>
    </w:p>
    <w:p w14:paraId="0BD7FA4D" w14:textId="77777777" w:rsidR="004A52BC" w:rsidRPr="00DE61B6" w:rsidRDefault="5842E8A6" w:rsidP="004A52BC">
      <w:pPr>
        <w:pStyle w:val="RAN4observation0"/>
        <w:numPr>
          <w:ilvl w:val="0"/>
          <w:numId w:val="11"/>
        </w:numPr>
        <w:ind w:left="0" w:firstLine="0"/>
      </w:pPr>
      <w:bookmarkStart w:id="28" w:name="_Toc133324112"/>
      <w:bookmarkStart w:id="29" w:name="_Toc135068272"/>
      <w:r w:rsidRPr="00DE61B6">
        <w:t>Existing defined requirements for RRC-based TCI state switch delay apply only when one TCI state is configured in RRC state list.</w:t>
      </w:r>
      <w:bookmarkEnd w:id="28"/>
      <w:bookmarkEnd w:id="29"/>
      <w:r w:rsidRPr="00DE61B6">
        <w:t xml:space="preserve"> </w:t>
      </w:r>
    </w:p>
    <w:p w14:paraId="42C0CB60" w14:textId="3AA9B013" w:rsidR="005015F5" w:rsidRPr="00DE61B6" w:rsidRDefault="5842E8A6">
      <w:pPr>
        <w:pStyle w:val="RAN4proposal"/>
        <w:numPr>
          <w:ilvl w:val="0"/>
          <w:numId w:val="8"/>
        </w:numPr>
        <w:rPr>
          <w:lang w:val="en-GB"/>
        </w:rPr>
      </w:pPr>
      <w:bookmarkStart w:id="30" w:name="_Toc133324113"/>
      <w:bookmarkStart w:id="31" w:name="_Toc135068273"/>
      <w:r w:rsidRPr="00DE61B6">
        <w:rPr>
          <w:lang w:val="en-GB"/>
        </w:rPr>
        <w:t>A switch from single TCI state to dual TCI state for PDCCH is a switch between single-DCI and multi-DCI scenarios, which involves RRC signalling. Hence, RRC based TCI state switch delay requirements will apply and requirements need to be updated for this case.</w:t>
      </w:r>
      <w:bookmarkEnd w:id="30"/>
      <w:bookmarkEnd w:id="31"/>
    </w:p>
    <w:p w14:paraId="3CD7A203" w14:textId="77777777" w:rsidR="004A52BC" w:rsidRDefault="004A52BC" w:rsidP="004A52BC">
      <w:pPr>
        <w:pStyle w:val="RAN4H1"/>
      </w:pPr>
      <w:r>
        <w:t>Active TCI state list update</w:t>
      </w:r>
    </w:p>
    <w:p w14:paraId="376F2941" w14:textId="77777777" w:rsidR="004A52BC" w:rsidRPr="00D114CE" w:rsidRDefault="004A52BC" w:rsidP="004A52BC">
      <w:pPr>
        <w:rPr>
          <w:lang w:val="en-GB"/>
        </w:rPr>
      </w:pPr>
      <w:r>
        <w:rPr>
          <w:lang w:val="en-GB"/>
        </w:rPr>
        <w:t>In RAN4#106bis meeting, the following was agreed about active TCI state list update:</w:t>
      </w:r>
    </w:p>
    <w:tbl>
      <w:tblPr>
        <w:tblStyle w:val="TableGrid"/>
        <w:tblW w:w="0" w:type="auto"/>
        <w:tblLook w:val="04A0" w:firstRow="1" w:lastRow="0" w:firstColumn="1" w:lastColumn="0" w:noHBand="0" w:noVBand="1"/>
      </w:tblPr>
      <w:tblGrid>
        <w:gridCol w:w="9617"/>
      </w:tblGrid>
      <w:tr w:rsidR="004A52BC" w14:paraId="0CF6ED85" w14:textId="77777777" w:rsidTr="00E81B36">
        <w:tc>
          <w:tcPr>
            <w:tcW w:w="9617" w:type="dxa"/>
          </w:tcPr>
          <w:p w14:paraId="3E8E6620" w14:textId="77777777" w:rsidR="004A52BC" w:rsidRDefault="004A52BC" w:rsidP="00E81B36">
            <w:pPr>
              <w:rPr>
                <w:b/>
                <w:lang w:eastAsia="ko-KR"/>
              </w:rPr>
            </w:pPr>
            <w:r>
              <w:rPr>
                <w:b/>
                <w:lang w:eastAsia="ko-KR"/>
              </w:rPr>
              <w:t>Issue 2-6-1: Active TCI state list update</w:t>
            </w:r>
          </w:p>
          <w:p w14:paraId="062032BE" w14:textId="77777777" w:rsidR="003D3A53" w:rsidRDefault="004A52BC" w:rsidP="00E81B36">
            <w:pPr>
              <w:spacing w:after="120"/>
              <w:rPr>
                <w:i/>
                <w:iCs/>
                <w:szCs w:val="24"/>
                <w:lang w:eastAsia="zh-CN"/>
              </w:rPr>
            </w:pPr>
            <w:r>
              <w:rPr>
                <w:i/>
                <w:iCs/>
                <w:szCs w:val="24"/>
                <w:lang w:eastAsia="zh-CN"/>
              </w:rPr>
              <w:t xml:space="preserve">Agreements: For active TCI state list update for addition of a new dual TCI states, legacy requirements can be used as baseline. </w:t>
            </w:r>
          </w:p>
          <w:p w14:paraId="77F0A659" w14:textId="427E661D" w:rsidR="004A52BC" w:rsidRDefault="004A52BC" w:rsidP="00E81B36">
            <w:pPr>
              <w:spacing w:after="120"/>
              <w:rPr>
                <w:i/>
                <w:iCs/>
                <w:szCs w:val="24"/>
                <w:lang w:eastAsia="zh-CN"/>
              </w:rPr>
            </w:pPr>
            <w:r>
              <w:rPr>
                <w:i/>
                <w:iCs/>
                <w:szCs w:val="24"/>
                <w:lang w:eastAsia="zh-CN"/>
              </w:rPr>
              <w:t>FFS if T/F tracking for the dual TCI states are based on different SSBs.</w:t>
            </w:r>
          </w:p>
          <w:p w14:paraId="662AA488" w14:textId="77777777" w:rsidR="004A52BC" w:rsidRDefault="004A52BC" w:rsidP="00E81B36">
            <w:pPr>
              <w:rPr>
                <w:lang w:val="en-GB"/>
              </w:rPr>
            </w:pPr>
          </w:p>
        </w:tc>
      </w:tr>
    </w:tbl>
    <w:p w14:paraId="7802C14F" w14:textId="77777777" w:rsidR="004A52BC" w:rsidRPr="00D114CE" w:rsidRDefault="004A52BC" w:rsidP="004A52BC">
      <w:pPr>
        <w:rPr>
          <w:lang w:val="en-GB"/>
        </w:rPr>
      </w:pPr>
    </w:p>
    <w:p w14:paraId="1CBEE42B" w14:textId="0F9517C4" w:rsidR="004A52BC" w:rsidRPr="00510E68" w:rsidRDefault="004A52BC" w:rsidP="004A52BC">
      <w:pPr>
        <w:pStyle w:val="RAN4H2"/>
      </w:pPr>
      <w:r w:rsidRPr="00510E68">
        <w:t>Singl</w:t>
      </w:r>
      <w:r w:rsidR="008E6FBA">
        <w:t>e-</w:t>
      </w:r>
      <w:r w:rsidRPr="00510E68">
        <w:t>DCI</w:t>
      </w:r>
    </w:p>
    <w:p w14:paraId="624411D2" w14:textId="569B9AD7" w:rsidR="004A52BC" w:rsidRDefault="004A52BC" w:rsidP="004A52BC">
      <w:pPr>
        <w:rPr>
          <w:lang w:eastAsia="zh-CN"/>
        </w:rPr>
      </w:pPr>
      <w:r>
        <w:t>The existing a</w:t>
      </w:r>
      <w:r w:rsidRPr="009C5807">
        <w:t>ctive TCI state list update delay</w:t>
      </w:r>
      <w:r>
        <w:t xml:space="preserve"> requirements, where the MAC-CE activation command for updating active TCI state list contains a single TCI state, considers the </w:t>
      </w:r>
      <w:r w:rsidRPr="009C5807">
        <w:rPr>
          <w:lang w:eastAsia="zh-CN"/>
        </w:rPr>
        <w:t xml:space="preserve">time to </w:t>
      </w:r>
      <w:r w:rsidR="00BB3C61">
        <w:rPr>
          <w:lang w:eastAsia="zh-CN"/>
        </w:rPr>
        <w:t xml:space="preserve">the </w:t>
      </w:r>
      <w:r w:rsidRPr="009C5807">
        <w:rPr>
          <w:lang w:eastAsia="zh-CN"/>
        </w:rPr>
        <w:t>first SSB transmission</w:t>
      </w:r>
      <w:r>
        <w:rPr>
          <w:lang w:eastAsia="zh-CN"/>
        </w:rPr>
        <w:t xml:space="preserve"> after </w:t>
      </w:r>
      <w:r w:rsidRPr="009C5807">
        <w:rPr>
          <w:lang w:eastAsia="zh-CN"/>
        </w:rPr>
        <w:t>MAC</w:t>
      </w:r>
      <w:r>
        <w:rPr>
          <w:lang w:eastAsia="zh-CN"/>
        </w:rPr>
        <w:t>-</w:t>
      </w:r>
      <w:r w:rsidRPr="009C5807">
        <w:rPr>
          <w:lang w:eastAsia="zh-CN"/>
        </w:rPr>
        <w:t>CE command is decoded by the UE</w:t>
      </w:r>
      <w:r>
        <w:rPr>
          <w:lang w:eastAsia="zh-CN"/>
        </w:rPr>
        <w:t xml:space="preserve"> (</w:t>
      </w:r>
      <w:proofErr w:type="spellStart"/>
      <w:r w:rsidRPr="00DB0635">
        <w:rPr>
          <w:rFonts w:eastAsia="Malgun Gothic"/>
          <w:lang w:eastAsia="zh-CN"/>
        </w:rPr>
        <w:t>T</w:t>
      </w:r>
      <w:r w:rsidRPr="00DB0635">
        <w:rPr>
          <w:rFonts w:eastAsia="Malgun Gothic"/>
          <w:vertAlign w:val="subscript"/>
          <w:lang w:eastAsia="zh-CN"/>
        </w:rPr>
        <w:t>first</w:t>
      </w:r>
      <w:proofErr w:type="spellEnd"/>
      <w:r w:rsidRPr="00DB0635">
        <w:rPr>
          <w:rFonts w:eastAsia="Malgun Gothic"/>
          <w:vertAlign w:val="subscript"/>
          <w:lang w:eastAsia="zh-CN"/>
        </w:rPr>
        <w:t>-SSB</w:t>
      </w:r>
      <w:r>
        <w:rPr>
          <w:rFonts w:eastAsia="Malgun Gothic"/>
          <w:lang w:eastAsia="zh-CN"/>
        </w:rPr>
        <w:t>)</w:t>
      </w:r>
      <w:r>
        <w:rPr>
          <w:lang w:eastAsia="zh-CN"/>
        </w:rPr>
        <w:t xml:space="preserve">. </w:t>
      </w:r>
    </w:p>
    <w:tbl>
      <w:tblPr>
        <w:tblStyle w:val="TableGrid"/>
        <w:tblW w:w="0" w:type="auto"/>
        <w:tblLook w:val="04A0" w:firstRow="1" w:lastRow="0" w:firstColumn="1" w:lastColumn="0" w:noHBand="0" w:noVBand="1"/>
      </w:tblPr>
      <w:tblGrid>
        <w:gridCol w:w="9617"/>
      </w:tblGrid>
      <w:tr w:rsidR="004A52BC" w14:paraId="1D68BE95" w14:textId="77777777" w:rsidTr="00E81B36">
        <w:tc>
          <w:tcPr>
            <w:tcW w:w="9617" w:type="dxa"/>
          </w:tcPr>
          <w:p w14:paraId="686C9B13" w14:textId="77777777" w:rsidR="004A52BC" w:rsidRPr="00265080" w:rsidRDefault="004A52BC" w:rsidP="00E81B3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265080">
              <w:rPr>
                <w:rFonts w:ascii="Arial" w:eastAsia="Times New Roman" w:hAnsi="Arial" w:cs="Times New Roman"/>
                <w:sz w:val="28"/>
                <w:szCs w:val="20"/>
                <w:lang w:eastAsia="en-GB"/>
              </w:rPr>
              <w:lastRenderedPageBreak/>
              <w:t>8.10.6</w:t>
            </w:r>
            <w:r w:rsidRPr="00265080">
              <w:rPr>
                <w:rFonts w:ascii="Arial" w:eastAsia="Times New Roman" w:hAnsi="Arial" w:cs="Times New Roman"/>
                <w:sz w:val="28"/>
                <w:szCs w:val="20"/>
                <w:lang w:eastAsia="en-GB"/>
              </w:rPr>
              <w:tab/>
              <w:t>Active TCI state list update delay</w:t>
            </w:r>
          </w:p>
          <w:p w14:paraId="2986166C" w14:textId="77777777" w:rsidR="004A52BC" w:rsidRPr="00265080" w:rsidRDefault="004A52BC" w:rsidP="00E81B36">
            <w:pPr>
              <w:overflowPunct w:val="0"/>
              <w:autoSpaceDE w:val="0"/>
              <w:autoSpaceDN w:val="0"/>
              <w:adjustRightInd w:val="0"/>
              <w:spacing w:after="180"/>
              <w:textAlignment w:val="baseline"/>
              <w:rPr>
                <w:rFonts w:eastAsia="Malgun Gothic" w:cs="Times New Roman"/>
                <w:szCs w:val="20"/>
                <w:lang w:eastAsia="zh-CN"/>
              </w:rPr>
            </w:pPr>
            <w:r w:rsidRPr="00265080">
              <w:rPr>
                <w:rFonts w:eastAsia="Malgun Gothic" w:cs="Times New Roman"/>
                <w:szCs w:val="20"/>
                <w:lang w:eastAsia="zh-CN"/>
              </w:rPr>
              <w:t>If the target TCI state is known, upon</w:t>
            </w:r>
            <w:r w:rsidRPr="00265080">
              <w:rPr>
                <w:rFonts w:eastAsia="Times New Roman" w:cs="Times New Roman"/>
                <w:szCs w:val="20"/>
                <w:lang w:eastAsia="zh-CN"/>
              </w:rPr>
              <w:t xml:space="preserve"> receiv</w:t>
            </w:r>
            <w:r w:rsidRPr="00265080">
              <w:rPr>
                <w:rFonts w:eastAsia="Malgun Gothic" w:cs="Times New Roman"/>
                <w:szCs w:val="20"/>
                <w:lang w:eastAsia="zh-CN"/>
              </w:rPr>
              <w:t>ing PDSCH carrying</w:t>
            </w:r>
            <w:r w:rsidRPr="00265080">
              <w:rPr>
                <w:rFonts w:eastAsia="Times New Roman" w:cs="Times New Roman"/>
                <w:szCs w:val="20"/>
                <w:lang w:eastAsia="zh-CN"/>
              </w:rPr>
              <w:t xml:space="preserve"> </w:t>
            </w:r>
            <w:r w:rsidRPr="00265080">
              <w:rPr>
                <w:rFonts w:eastAsia="Malgun Gothic" w:cs="Times New Roman"/>
                <w:szCs w:val="20"/>
                <w:lang w:eastAsia="zh-CN"/>
              </w:rPr>
              <w:t>MAC-CE active TCI state list update at slot n</w:t>
            </w:r>
            <w:r w:rsidRPr="00265080">
              <w:rPr>
                <w:rFonts w:eastAsia="Times New Roman" w:cs="Times New Roman"/>
                <w:szCs w:val="20"/>
                <w:lang w:eastAsia="zh-CN"/>
              </w:rPr>
              <w:t xml:space="preserve">, UE shall be able to receive PDCCH to schedule PDSCH with the new target TCI state </w:t>
            </w:r>
            <w:r w:rsidRPr="00265080">
              <w:rPr>
                <w:rFonts w:eastAsia="Malgun Gothic" w:cs="Times New Roman"/>
                <w:szCs w:val="20"/>
                <w:lang w:eastAsia="zh-CN"/>
              </w:rPr>
              <w:t>at the first slot that is after</w:t>
            </w:r>
            <w:r w:rsidRPr="00265080">
              <w:rPr>
                <w:rFonts w:eastAsia="Times New Roman" w:cs="Times New Roman"/>
                <w:szCs w:val="20"/>
                <w:lang w:eastAsia="zh-CN"/>
              </w:rPr>
              <w:t xml:space="preserve"> n+</w:t>
            </w:r>
            <w:r w:rsidRPr="00265080">
              <w:rPr>
                <w:rFonts w:eastAsia="Malgun Gothic" w:cs="Times New Roman"/>
                <w:szCs w:val="20"/>
                <w:lang w:val="en-GB" w:eastAsia="zh-CN"/>
              </w:rPr>
              <w:t xml:space="preserve"> T</w:t>
            </w:r>
            <w:r w:rsidRPr="00265080">
              <w:rPr>
                <w:rFonts w:eastAsia="Malgun Gothic" w:cs="Times New Roman"/>
                <w:szCs w:val="20"/>
                <w:vertAlign w:val="subscript"/>
                <w:lang w:val="en-GB" w:eastAsia="zh-CN"/>
              </w:rPr>
              <w:t>HARQ</w:t>
            </w:r>
            <w:r w:rsidRPr="00265080">
              <w:rPr>
                <w:rFonts w:eastAsia="Malgun Gothic" w:cs="Times New Roman"/>
                <w:szCs w:val="20"/>
                <w:lang w:val="en-GB" w:eastAsia="zh-CN"/>
              </w:rPr>
              <w:t xml:space="preserve"> +</w:t>
            </w:r>
            <m:oMath>
              <m:sSubSup>
                <m:sSubSupPr>
                  <m:ctrlPr>
                    <w:rPr>
                      <w:rFonts w:ascii="Cambria Math" w:eastAsia="Times New Roman" w:hAnsi="Cambria Math" w:cs="Times New Roman"/>
                      <w:szCs w:val="20"/>
                      <w:lang w:val="en-GB" w:eastAsia="en-GB"/>
                    </w:rPr>
                  </m:ctrlPr>
                </m:sSubSupPr>
                <m:e>
                  <m:r>
                    <m:rPr>
                      <m:sty m:val="p"/>
                    </m:rPr>
                    <w:rPr>
                      <w:rFonts w:ascii="Cambria Math" w:eastAsia="Times New Roman" w:hAnsi="Cambria Math" w:cs="Times New Roman"/>
                      <w:szCs w:val="20"/>
                      <w:lang w:val="en-GB" w:eastAsia="en-GB"/>
                    </w:rPr>
                    <m:t>3N</m:t>
                  </m:r>
                </m:e>
                <m:sub>
                  <m:r>
                    <m:rPr>
                      <m:sty m:val="p"/>
                    </m:rPr>
                    <w:rPr>
                      <w:rFonts w:ascii="Cambria Math" w:eastAsia="Times New Roman" w:hAnsi="Cambria Math" w:cs="Times New Roman"/>
                      <w:szCs w:val="20"/>
                      <w:lang w:val="en-GB" w:eastAsia="en-GB"/>
                    </w:rPr>
                    <m:t>slot</m:t>
                  </m:r>
                </m:sub>
                <m:sup>
                  <m:r>
                    <m:rPr>
                      <m:sty m:val="p"/>
                    </m:rPr>
                    <w:rPr>
                      <w:rFonts w:ascii="Cambria Math" w:eastAsia="Times New Roman" w:hAnsi="Cambria Math" w:cs="Times New Roman"/>
                      <w:szCs w:val="20"/>
                      <w:lang w:val="en-GB" w:eastAsia="en-GB"/>
                    </w:rPr>
                    <m:t>subframe,µ</m:t>
                  </m:r>
                </m:sup>
              </m:sSubSup>
            </m:oMath>
            <w:r w:rsidRPr="00265080">
              <w:rPr>
                <w:rFonts w:eastAsia="Malgun Gothic" w:cs="Times New Roman"/>
                <w:szCs w:val="20"/>
                <w:lang w:eastAsia="zh-CN"/>
              </w:rPr>
              <w:t xml:space="preserve"> +</w:t>
            </w:r>
            <w:proofErr w:type="spellStart"/>
            <w:r w:rsidRPr="00265080">
              <w:rPr>
                <w:rFonts w:eastAsia="Malgun Gothic" w:cs="Times New Roman"/>
                <w:szCs w:val="20"/>
                <w:lang w:eastAsia="zh-CN"/>
              </w:rPr>
              <w:t>TO</w:t>
            </w:r>
            <w:r w:rsidRPr="00265080">
              <w:rPr>
                <w:rFonts w:eastAsia="Malgun Gothic" w:cs="Times New Roman"/>
                <w:szCs w:val="20"/>
                <w:vertAlign w:val="subscript"/>
                <w:lang w:eastAsia="zh-CN"/>
              </w:rPr>
              <w:t>k</w:t>
            </w:r>
            <w:proofErr w:type="spellEnd"/>
            <w:r w:rsidRPr="00265080">
              <w:rPr>
                <w:rFonts w:eastAsia="Malgun Gothic" w:cs="Times New Roman"/>
                <w:szCs w:val="20"/>
                <w:lang w:eastAsia="zh-CN"/>
              </w:rPr>
              <w:t>*(</w:t>
            </w:r>
            <w:proofErr w:type="spellStart"/>
            <w:r w:rsidRPr="00DB0635">
              <w:rPr>
                <w:rFonts w:eastAsia="Malgun Gothic" w:cs="Times New Roman"/>
                <w:b/>
                <w:bCs/>
                <w:szCs w:val="20"/>
                <w:lang w:eastAsia="zh-CN"/>
              </w:rPr>
              <w:t>T</w:t>
            </w:r>
            <w:r w:rsidRPr="00DB0635">
              <w:rPr>
                <w:rFonts w:eastAsia="Malgun Gothic" w:cs="Times New Roman"/>
                <w:b/>
                <w:bCs/>
                <w:szCs w:val="20"/>
                <w:vertAlign w:val="subscript"/>
                <w:lang w:eastAsia="zh-CN"/>
              </w:rPr>
              <w:t>first</w:t>
            </w:r>
            <w:proofErr w:type="spellEnd"/>
            <w:r w:rsidRPr="00DB0635">
              <w:rPr>
                <w:rFonts w:eastAsia="Malgun Gothic" w:cs="Times New Roman"/>
                <w:b/>
                <w:bCs/>
                <w:szCs w:val="20"/>
                <w:vertAlign w:val="subscript"/>
                <w:lang w:eastAsia="zh-CN"/>
              </w:rPr>
              <w:t>-SSB</w:t>
            </w:r>
            <w:r w:rsidRPr="00265080">
              <w:rPr>
                <w:rFonts w:eastAsia="Malgun Gothic" w:cs="Times New Roman"/>
                <w:szCs w:val="20"/>
                <w:vertAlign w:val="subscript"/>
                <w:lang w:eastAsia="zh-CN"/>
              </w:rPr>
              <w:t xml:space="preserve"> </w:t>
            </w:r>
            <w:r w:rsidRPr="00265080">
              <w:rPr>
                <w:rFonts w:eastAsia="Malgun Gothic" w:cs="Times New Roman"/>
                <w:szCs w:val="20"/>
                <w:lang w:eastAsia="zh-CN"/>
              </w:rPr>
              <w:t>+ T</w:t>
            </w:r>
            <w:r w:rsidRPr="00265080">
              <w:rPr>
                <w:rFonts w:eastAsia="Malgun Gothic" w:cs="Times New Roman"/>
                <w:szCs w:val="20"/>
                <w:vertAlign w:val="subscript"/>
                <w:lang w:eastAsia="zh-CN"/>
              </w:rPr>
              <w:t>SSB-proc</w:t>
            </w:r>
            <w:r w:rsidRPr="00265080">
              <w:rPr>
                <w:rFonts w:eastAsia="Malgun Gothic" w:cs="Times New Roman"/>
                <w:szCs w:val="20"/>
                <w:lang w:eastAsia="zh-CN"/>
              </w:rPr>
              <w:t>) /</w:t>
            </w:r>
            <w:r w:rsidRPr="00265080">
              <w:rPr>
                <w:rFonts w:eastAsia="Times New Roman" w:cs="Times New Roman"/>
                <w:i/>
                <w:szCs w:val="20"/>
                <w:lang w:eastAsia="zh-CN"/>
              </w:rPr>
              <w:t xml:space="preserve"> NR slot length</w:t>
            </w:r>
            <w:r w:rsidRPr="00265080">
              <w:rPr>
                <w:rFonts w:eastAsia="Times New Roman" w:cs="Times New Roman"/>
                <w:szCs w:val="20"/>
                <w:lang w:eastAsia="zh-CN"/>
              </w:rPr>
              <w:t xml:space="preserve">. Where </w:t>
            </w:r>
            <w:r w:rsidRPr="00265080">
              <w:rPr>
                <w:rFonts w:eastAsia="Malgun Gothic" w:cs="Times New Roman"/>
                <w:szCs w:val="20"/>
                <w:lang w:val="en-GB" w:eastAsia="zh-CN"/>
              </w:rPr>
              <w:t>T</w:t>
            </w:r>
            <w:r w:rsidRPr="00265080">
              <w:rPr>
                <w:rFonts w:eastAsia="Malgun Gothic" w:cs="Times New Roman"/>
                <w:szCs w:val="20"/>
                <w:vertAlign w:val="subscript"/>
                <w:lang w:val="en-GB" w:eastAsia="zh-CN"/>
              </w:rPr>
              <w:t>HARQ</w:t>
            </w:r>
            <w:r w:rsidRPr="00265080">
              <w:rPr>
                <w:rFonts w:eastAsia="Times New Roman" w:cs="Times New Roman"/>
                <w:szCs w:val="20"/>
                <w:lang w:eastAsia="zh-CN"/>
              </w:rPr>
              <w:t xml:space="preserve">, </w:t>
            </w:r>
            <w:proofErr w:type="spellStart"/>
            <w:r w:rsidRPr="00265080">
              <w:rPr>
                <w:rFonts w:eastAsia="Malgun Gothic" w:cs="Times New Roman"/>
                <w:szCs w:val="20"/>
                <w:lang w:eastAsia="zh-CN"/>
              </w:rPr>
              <w:t>T</w:t>
            </w:r>
            <w:r w:rsidRPr="00265080">
              <w:rPr>
                <w:rFonts w:eastAsia="Malgun Gothic" w:cs="Times New Roman"/>
                <w:szCs w:val="20"/>
                <w:vertAlign w:val="subscript"/>
                <w:lang w:eastAsia="zh-CN"/>
              </w:rPr>
              <w:t>first</w:t>
            </w:r>
            <w:proofErr w:type="spellEnd"/>
            <w:r w:rsidRPr="00265080">
              <w:rPr>
                <w:rFonts w:eastAsia="Malgun Gothic" w:cs="Times New Roman"/>
                <w:szCs w:val="20"/>
                <w:vertAlign w:val="subscript"/>
                <w:lang w:eastAsia="zh-CN"/>
              </w:rPr>
              <w:t>-SSB,</w:t>
            </w:r>
            <w:r w:rsidRPr="00265080">
              <w:rPr>
                <w:rFonts w:eastAsia="Malgun Gothic" w:cs="Times New Roman"/>
                <w:szCs w:val="20"/>
                <w:lang w:eastAsia="zh-CN"/>
              </w:rPr>
              <w:t xml:space="preserve"> T</w:t>
            </w:r>
            <w:r w:rsidRPr="00265080">
              <w:rPr>
                <w:rFonts w:eastAsia="Malgun Gothic" w:cs="Times New Roman"/>
                <w:szCs w:val="20"/>
                <w:vertAlign w:val="subscript"/>
                <w:lang w:eastAsia="zh-CN"/>
              </w:rPr>
              <w:t xml:space="preserve">SSB-proc </w:t>
            </w:r>
            <w:r w:rsidRPr="00265080">
              <w:rPr>
                <w:rFonts w:eastAsia="Malgun Gothic" w:cs="Times New Roman"/>
                <w:szCs w:val="20"/>
                <w:lang w:eastAsia="zh-CN"/>
              </w:rPr>
              <w:t xml:space="preserve">and </w:t>
            </w:r>
            <w:proofErr w:type="spellStart"/>
            <w:r w:rsidRPr="00265080">
              <w:rPr>
                <w:rFonts w:eastAsia="Malgun Gothic" w:cs="Times New Roman"/>
                <w:szCs w:val="20"/>
                <w:lang w:eastAsia="zh-CN"/>
              </w:rPr>
              <w:t>TO</w:t>
            </w:r>
            <w:r w:rsidRPr="00265080">
              <w:rPr>
                <w:rFonts w:eastAsia="Malgun Gothic" w:cs="Times New Roman"/>
                <w:szCs w:val="20"/>
                <w:vertAlign w:val="subscript"/>
                <w:lang w:eastAsia="zh-CN"/>
              </w:rPr>
              <w:t>k</w:t>
            </w:r>
            <w:proofErr w:type="spellEnd"/>
            <w:r w:rsidRPr="00265080">
              <w:rPr>
                <w:rFonts w:eastAsia="Malgun Gothic" w:cs="Times New Roman"/>
                <w:szCs w:val="20"/>
                <w:lang w:eastAsia="zh-CN"/>
              </w:rPr>
              <w:t xml:space="preserve"> are defined in </w:t>
            </w:r>
            <w:r w:rsidRPr="00265080">
              <w:rPr>
                <w:rFonts w:eastAsia="Times New Roman" w:cs="Times New Roman"/>
                <w:szCs w:val="20"/>
                <w:lang w:eastAsia="ko-KR"/>
              </w:rPr>
              <w:t>clause</w:t>
            </w:r>
            <w:r w:rsidRPr="00265080">
              <w:rPr>
                <w:rFonts w:eastAsia="Malgun Gothic" w:cs="Times New Roman"/>
                <w:szCs w:val="20"/>
                <w:lang w:eastAsia="zh-CN"/>
              </w:rPr>
              <w:t xml:space="preserve"> 8.10.3.</w:t>
            </w:r>
          </w:p>
          <w:p w14:paraId="18170401" w14:textId="77777777" w:rsidR="004A52BC" w:rsidRDefault="004A52BC" w:rsidP="00E81B36">
            <w:pPr>
              <w:rPr>
                <w:lang w:eastAsia="zh-CN"/>
              </w:rPr>
            </w:pPr>
            <w:r>
              <w:rPr>
                <w:lang w:eastAsia="zh-CN"/>
              </w:rPr>
              <w:t>--</w:t>
            </w:r>
          </w:p>
          <w:p w14:paraId="46015AE0" w14:textId="77777777" w:rsidR="004A52BC" w:rsidRDefault="004A52BC" w:rsidP="00E81B36">
            <w:pPr>
              <w:rPr>
                <w:lang w:eastAsia="zh-CN"/>
              </w:rPr>
            </w:pPr>
          </w:p>
          <w:p w14:paraId="0C7D3BB8" w14:textId="77777777" w:rsidR="007602AE" w:rsidRPr="009C5807" w:rsidRDefault="007602AE" w:rsidP="007602AE">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33173C15" w14:textId="77777777" w:rsidR="004A52BC" w:rsidRDefault="004A52BC" w:rsidP="00E81B36">
            <w:pPr>
              <w:rPr>
                <w:lang w:eastAsia="zh-CN"/>
              </w:rPr>
            </w:pPr>
          </w:p>
        </w:tc>
      </w:tr>
    </w:tbl>
    <w:p w14:paraId="56642282" w14:textId="77777777" w:rsidR="004A52BC" w:rsidRDefault="004A52BC" w:rsidP="004A52BC">
      <w:pPr>
        <w:rPr>
          <w:lang w:eastAsia="zh-CN"/>
        </w:rPr>
      </w:pPr>
    </w:p>
    <w:p w14:paraId="20C82220" w14:textId="22BC18E9" w:rsidR="00290D71" w:rsidRDefault="004A52BC" w:rsidP="004A52BC">
      <w:pPr>
        <w:rPr>
          <w:lang w:eastAsia="zh-CN"/>
        </w:rPr>
      </w:pPr>
      <w:r>
        <w:rPr>
          <w:lang w:eastAsia="zh-CN"/>
        </w:rPr>
        <w:t xml:space="preserve">In m-TRP deployments, when the MAC-CE </w:t>
      </w:r>
      <w:r w:rsidR="00E75AB3">
        <w:rPr>
          <w:lang w:eastAsia="zh-CN"/>
        </w:rPr>
        <w:t xml:space="preserve">TCI state list activation command </w:t>
      </w:r>
      <w:r>
        <w:rPr>
          <w:lang w:eastAsia="zh-CN"/>
        </w:rPr>
        <w:t xml:space="preserve">contains dual TCI states, </w:t>
      </w:r>
      <w:r w:rsidR="00683D13">
        <w:rPr>
          <w:lang w:eastAsia="zh-CN"/>
        </w:rPr>
        <w:t>the delay requirement should consider</w:t>
      </w:r>
      <w:r>
        <w:rPr>
          <w:lang w:eastAsia="zh-CN"/>
        </w:rPr>
        <w:t xml:space="preserve"> the first SSB </w:t>
      </w:r>
      <w:r w:rsidR="009D4955">
        <w:rPr>
          <w:lang w:eastAsia="zh-CN"/>
        </w:rPr>
        <w:t>with a QCL relation</w:t>
      </w:r>
      <w:r>
        <w:rPr>
          <w:lang w:eastAsia="zh-CN"/>
        </w:rPr>
        <w:t xml:space="preserve"> for each of the </w:t>
      </w:r>
      <w:r w:rsidR="00022151">
        <w:rPr>
          <w:lang w:eastAsia="zh-CN"/>
        </w:rPr>
        <w:t xml:space="preserve">target </w:t>
      </w:r>
      <w:r>
        <w:rPr>
          <w:lang w:eastAsia="zh-CN"/>
        </w:rPr>
        <w:t>TCI states.</w:t>
      </w:r>
      <w:r w:rsidR="006912F6">
        <w:rPr>
          <w:lang w:eastAsia="zh-CN"/>
        </w:rPr>
        <w:t xml:space="preserve"> </w:t>
      </w:r>
      <w:r w:rsidR="00877E10">
        <w:rPr>
          <w:lang w:eastAsia="zh-CN"/>
        </w:rPr>
        <w:t xml:space="preserve">With this proposal, </w:t>
      </w:r>
      <w:r w:rsidR="00242ED9">
        <w:rPr>
          <w:lang w:eastAsia="zh-CN"/>
        </w:rPr>
        <w:t xml:space="preserve">total </w:t>
      </w:r>
      <w:proofErr w:type="spellStart"/>
      <w:r w:rsidR="00877E10">
        <w:rPr>
          <w:lang w:eastAsia="zh-CN"/>
        </w:rPr>
        <w:t>T</w:t>
      </w:r>
      <w:r w:rsidR="00877E10" w:rsidRPr="00775072">
        <w:rPr>
          <w:vertAlign w:val="subscript"/>
          <w:lang w:eastAsia="zh-CN"/>
        </w:rPr>
        <w:t>first</w:t>
      </w:r>
      <w:proofErr w:type="spellEnd"/>
      <w:r w:rsidR="00877E10" w:rsidRPr="00775072">
        <w:rPr>
          <w:vertAlign w:val="subscript"/>
          <w:lang w:eastAsia="zh-CN"/>
        </w:rPr>
        <w:t>-SSB</w:t>
      </w:r>
      <w:r w:rsidR="00877E10">
        <w:rPr>
          <w:lang w:eastAsia="zh-CN"/>
        </w:rPr>
        <w:t xml:space="preserve"> would be the time from the UE decoding the MAC-CE command </w:t>
      </w:r>
      <w:r w:rsidR="009D4955">
        <w:rPr>
          <w:lang w:eastAsia="zh-CN"/>
        </w:rPr>
        <w:t>until</w:t>
      </w:r>
      <w:r w:rsidR="00877E10">
        <w:rPr>
          <w:lang w:eastAsia="zh-CN"/>
        </w:rPr>
        <w:t xml:space="preserve"> </w:t>
      </w:r>
      <w:r w:rsidR="5410D75D" w:rsidRPr="014EBDE1">
        <w:rPr>
          <w:lang w:eastAsia="zh-CN"/>
        </w:rPr>
        <w:t xml:space="preserve">the </w:t>
      </w:r>
      <w:r w:rsidR="00877E10">
        <w:rPr>
          <w:lang w:eastAsia="zh-CN"/>
        </w:rPr>
        <w:t xml:space="preserve">UE has received the first SSB transmission </w:t>
      </w:r>
      <w:r w:rsidR="00FD4F5B">
        <w:rPr>
          <w:lang w:eastAsia="zh-CN"/>
        </w:rPr>
        <w:t xml:space="preserve">with QCL-relation </w:t>
      </w:r>
      <w:r w:rsidR="5B40DF7F" w:rsidRPr="27467029">
        <w:rPr>
          <w:lang w:eastAsia="zh-CN"/>
        </w:rPr>
        <w:t>for</w:t>
      </w:r>
      <w:r w:rsidR="00FD4F5B">
        <w:rPr>
          <w:lang w:eastAsia="zh-CN"/>
        </w:rPr>
        <w:t xml:space="preserve"> </w:t>
      </w:r>
      <w:r w:rsidR="64A70341" w:rsidRPr="3E502336">
        <w:rPr>
          <w:lang w:eastAsia="zh-CN"/>
        </w:rPr>
        <w:t>each</w:t>
      </w:r>
      <w:r w:rsidR="00FD4F5B">
        <w:rPr>
          <w:lang w:eastAsia="zh-CN"/>
        </w:rPr>
        <w:t xml:space="preserve"> of the target TCI states</w:t>
      </w:r>
      <w:r w:rsidR="009D4955">
        <w:rPr>
          <w:lang w:eastAsia="zh-CN"/>
        </w:rPr>
        <w:t xml:space="preserve">, </w:t>
      </w:r>
    </w:p>
    <w:p w14:paraId="19E950F5" w14:textId="48A80264" w:rsidR="00D4118E" w:rsidRDefault="00775072" w:rsidP="00DF6DF4">
      <w:pPr>
        <w:pStyle w:val="RAN4proposal"/>
        <w:numPr>
          <w:ilvl w:val="0"/>
          <w:numId w:val="8"/>
        </w:numPr>
        <w:rPr>
          <w:lang w:eastAsia="zh-CN"/>
        </w:rPr>
      </w:pPr>
      <w:bookmarkStart w:id="32" w:name="_Toc135068274"/>
      <w:r>
        <w:t>For single DCI scenario, if a pair of TCI states is activated by MAC-CE command in the active TCI state list, include the first SSB of each TCI state in the activation delay.</w:t>
      </w:r>
      <w:bookmarkEnd w:id="32"/>
    </w:p>
    <w:p w14:paraId="5A8CC0E6" w14:textId="60D4CA08" w:rsidR="004A52BC" w:rsidRDefault="003647F0" w:rsidP="004A52BC">
      <w:pPr>
        <w:rPr>
          <w:lang w:eastAsia="zh-CN"/>
        </w:rPr>
      </w:pPr>
      <w:r>
        <w:rPr>
          <w:lang w:eastAsia="zh-CN"/>
        </w:rPr>
        <w:t>Proposal 6</w:t>
      </w:r>
      <w:r w:rsidR="006912F6">
        <w:rPr>
          <w:lang w:eastAsia="zh-CN"/>
        </w:rPr>
        <w:t xml:space="preserve"> </w:t>
      </w:r>
      <w:r w:rsidR="00E53407">
        <w:rPr>
          <w:lang w:eastAsia="zh-CN"/>
        </w:rPr>
        <w:t xml:space="preserve">can be captured </w:t>
      </w:r>
      <w:r w:rsidR="00DC780C">
        <w:rPr>
          <w:lang w:eastAsia="zh-CN"/>
        </w:rPr>
        <w:t xml:space="preserve">in the active TCI state list update delay requirement </w:t>
      </w:r>
      <w:proofErr w:type="gramStart"/>
      <w:r w:rsidR="00F76A8D">
        <w:rPr>
          <w:lang w:eastAsia="zh-CN"/>
        </w:rPr>
        <w:t>e.g.</w:t>
      </w:r>
      <w:proofErr w:type="gramEnd"/>
      <w:r w:rsidR="00F76A8D">
        <w:rPr>
          <w:lang w:eastAsia="zh-CN"/>
        </w:rPr>
        <w:t xml:space="preserve"> by replacing</w:t>
      </w:r>
      <w:r w:rsidR="006912F6">
        <w:rPr>
          <w:lang w:eastAsia="zh-CN"/>
        </w:rPr>
        <w:t xml:space="preserve"> </w:t>
      </w:r>
      <w:proofErr w:type="spellStart"/>
      <w:r w:rsidR="0041397F">
        <w:rPr>
          <w:lang w:eastAsia="zh-CN"/>
        </w:rPr>
        <w:t>T</w:t>
      </w:r>
      <w:r w:rsidR="0041397F" w:rsidRPr="00775072">
        <w:rPr>
          <w:vertAlign w:val="subscript"/>
          <w:lang w:eastAsia="zh-CN"/>
        </w:rPr>
        <w:t>first</w:t>
      </w:r>
      <w:proofErr w:type="spellEnd"/>
      <w:r w:rsidR="0041397F" w:rsidRPr="00775072">
        <w:rPr>
          <w:vertAlign w:val="subscript"/>
          <w:lang w:eastAsia="zh-CN"/>
        </w:rPr>
        <w:t>-SSB</w:t>
      </w:r>
      <w:r w:rsidR="0041397F">
        <w:rPr>
          <w:lang w:eastAsia="zh-CN"/>
        </w:rPr>
        <w:t xml:space="preserve"> </w:t>
      </w:r>
      <w:r w:rsidR="00F76A8D">
        <w:rPr>
          <w:lang w:eastAsia="zh-CN"/>
        </w:rPr>
        <w:t>with</w:t>
      </w:r>
      <w:r w:rsidR="0041397F">
        <w:rPr>
          <w:lang w:eastAsia="zh-CN"/>
        </w:rPr>
        <w:t xml:space="preserve"> </w:t>
      </w:r>
      <w:r w:rsidR="0041397F">
        <w:rPr>
          <w:rFonts w:eastAsia="Malgun Gothic"/>
          <w:szCs w:val="20"/>
          <w:lang w:eastAsia="zh-CN"/>
        </w:rPr>
        <w:t>max (</w:t>
      </w:r>
      <w:r w:rsidR="0041397F" w:rsidRPr="007277E3">
        <w:rPr>
          <w:rFonts w:eastAsia="Malgun Gothic"/>
          <w:szCs w:val="20"/>
          <w:lang w:eastAsia="zh-CN"/>
        </w:rPr>
        <w:t>T</w:t>
      </w:r>
      <w:r w:rsidR="0041397F" w:rsidRPr="007277E3">
        <w:rPr>
          <w:rFonts w:eastAsia="Malgun Gothic"/>
          <w:szCs w:val="20"/>
          <w:vertAlign w:val="subscript"/>
          <w:lang w:eastAsia="zh-CN"/>
        </w:rPr>
        <w:t>first-SSB</w:t>
      </w:r>
      <w:r w:rsidR="0041397F">
        <w:rPr>
          <w:rFonts w:eastAsia="Malgun Gothic"/>
          <w:szCs w:val="20"/>
          <w:vertAlign w:val="subscript"/>
          <w:lang w:eastAsia="zh-CN"/>
        </w:rPr>
        <w:t>1</w:t>
      </w:r>
      <w:r w:rsidR="0041397F" w:rsidRPr="003E226D">
        <w:rPr>
          <w:rFonts w:eastAsia="Malgun Gothic"/>
          <w:szCs w:val="20"/>
          <w:lang w:eastAsia="zh-CN"/>
        </w:rPr>
        <w:t>,</w:t>
      </w:r>
      <w:r w:rsidR="0041397F" w:rsidRPr="001614EE">
        <w:rPr>
          <w:rFonts w:eastAsia="Malgun Gothic"/>
          <w:szCs w:val="20"/>
          <w:lang w:eastAsia="zh-CN"/>
        </w:rPr>
        <w:t xml:space="preserve"> </w:t>
      </w:r>
      <w:r w:rsidR="0041397F" w:rsidRPr="007277E3">
        <w:rPr>
          <w:rFonts w:eastAsia="Malgun Gothic"/>
          <w:szCs w:val="20"/>
          <w:lang w:eastAsia="zh-CN"/>
        </w:rPr>
        <w:t>T</w:t>
      </w:r>
      <w:r w:rsidR="0041397F" w:rsidRPr="007277E3">
        <w:rPr>
          <w:rFonts w:eastAsia="Malgun Gothic"/>
          <w:szCs w:val="20"/>
          <w:vertAlign w:val="subscript"/>
          <w:lang w:eastAsia="zh-CN"/>
        </w:rPr>
        <w:t>first-SSB</w:t>
      </w:r>
      <w:r w:rsidR="0041397F">
        <w:rPr>
          <w:rFonts w:eastAsia="Malgun Gothic"/>
          <w:szCs w:val="20"/>
          <w:vertAlign w:val="subscript"/>
          <w:lang w:eastAsia="zh-CN"/>
        </w:rPr>
        <w:t>2</w:t>
      </w:r>
      <w:r w:rsidR="0041397F">
        <w:rPr>
          <w:rFonts w:eastAsia="Malgun Gothic"/>
          <w:szCs w:val="20"/>
          <w:lang w:eastAsia="zh-CN"/>
        </w:rPr>
        <w:t>), where T</w:t>
      </w:r>
      <w:r w:rsidR="0041397F" w:rsidRPr="00775072">
        <w:rPr>
          <w:rFonts w:eastAsia="Malgun Gothic"/>
          <w:szCs w:val="20"/>
          <w:vertAlign w:val="subscript"/>
          <w:lang w:eastAsia="zh-CN"/>
        </w:rPr>
        <w:t>first-SSB1</w:t>
      </w:r>
      <w:r w:rsidR="0041397F">
        <w:rPr>
          <w:rFonts w:eastAsia="Malgun Gothic"/>
          <w:szCs w:val="20"/>
          <w:lang w:eastAsia="zh-CN"/>
        </w:rPr>
        <w:t xml:space="preserve"> </w:t>
      </w:r>
      <w:r w:rsidR="00080548">
        <w:rPr>
          <w:rFonts w:eastAsia="Malgun Gothic"/>
          <w:szCs w:val="20"/>
          <w:lang w:eastAsia="zh-CN"/>
        </w:rPr>
        <w:t xml:space="preserve">is the time to the first SSB transmission for one of the TCI states in the TCI pair to be activated, and </w:t>
      </w:r>
      <w:r w:rsidR="00F937D6">
        <w:rPr>
          <w:rFonts w:eastAsia="Malgun Gothic"/>
          <w:szCs w:val="20"/>
          <w:lang w:eastAsia="zh-CN"/>
        </w:rPr>
        <w:t>T</w:t>
      </w:r>
      <w:r w:rsidR="00F937D6" w:rsidRPr="00775072">
        <w:rPr>
          <w:rFonts w:eastAsia="Malgun Gothic"/>
          <w:szCs w:val="20"/>
          <w:vertAlign w:val="subscript"/>
          <w:lang w:eastAsia="zh-CN"/>
        </w:rPr>
        <w:t>first-SSB2</w:t>
      </w:r>
      <w:r w:rsidR="00F937D6">
        <w:rPr>
          <w:rFonts w:eastAsia="Malgun Gothic"/>
          <w:szCs w:val="20"/>
          <w:lang w:eastAsia="zh-CN"/>
        </w:rPr>
        <w:t xml:space="preserve"> </w:t>
      </w:r>
      <w:r w:rsidR="0041397F">
        <w:rPr>
          <w:rFonts w:eastAsia="Malgun Gothic"/>
          <w:szCs w:val="20"/>
          <w:lang w:eastAsia="zh-CN"/>
        </w:rPr>
        <w:t xml:space="preserve">is the time to the first SSB transmission </w:t>
      </w:r>
      <w:r w:rsidR="00073D8B">
        <w:rPr>
          <w:rFonts w:eastAsia="Malgun Gothic"/>
          <w:szCs w:val="20"/>
          <w:lang w:eastAsia="zh-CN"/>
        </w:rPr>
        <w:t>for</w:t>
      </w:r>
      <w:r w:rsidR="00F937D6">
        <w:rPr>
          <w:rFonts w:eastAsia="Malgun Gothic"/>
          <w:szCs w:val="20"/>
          <w:lang w:eastAsia="zh-CN"/>
        </w:rPr>
        <w:t xml:space="preserve"> </w:t>
      </w:r>
      <w:r w:rsidR="00080548">
        <w:rPr>
          <w:rFonts w:eastAsia="Malgun Gothic"/>
          <w:szCs w:val="20"/>
          <w:lang w:eastAsia="zh-CN"/>
        </w:rPr>
        <w:t>the other TCI state in the TCI pair.</w:t>
      </w:r>
      <w:r w:rsidR="00073D8B">
        <w:rPr>
          <w:rFonts w:eastAsia="Malgun Gothic"/>
          <w:szCs w:val="20"/>
          <w:lang w:eastAsia="zh-CN"/>
        </w:rPr>
        <w:t xml:space="preserve"> </w:t>
      </w:r>
    </w:p>
    <w:p w14:paraId="64D11211" w14:textId="26C2FE72" w:rsidR="004A52BC" w:rsidRDefault="00460B7B" w:rsidP="004A52BC">
      <w:pPr>
        <w:jc w:val="center"/>
        <w:rPr>
          <w:lang w:eastAsia="zh-CN"/>
        </w:rPr>
      </w:pPr>
      <w:r w:rsidRPr="00460B7B">
        <w:t xml:space="preserve"> </w:t>
      </w:r>
      <w:r>
        <w:object w:dxaOrig="10581" w:dyaOrig="2811" w14:anchorId="01F4B90F">
          <v:shape id="_x0000_i1026" type="#_x0000_t75" style="width:406.3pt;height:108pt" o:ole="" o:bordertopcolor="this" o:borderleftcolor="this" o:borderbottomcolor="this" o:borderrightcolor="this">
            <v:imagedata r:id="rId17" o:title=""/>
            <w10:bordertop type="single" width="4"/>
            <w10:borderleft type="single" width="4"/>
            <w10:borderbottom type="single" width="4"/>
            <w10:borderright type="single" width="4"/>
          </v:shape>
          <o:OLEObject Type="Embed" ProgID="Visio.Drawing.15" ShapeID="_x0000_i1026" DrawAspect="Content" ObjectID="_1745691603" r:id="rId18"/>
        </w:object>
      </w:r>
    </w:p>
    <w:p w14:paraId="43AF0033" w14:textId="0B298039" w:rsidR="004A52BC" w:rsidRDefault="004A52BC" w:rsidP="004A52BC">
      <w:pPr>
        <w:pStyle w:val="Caption"/>
        <w:rPr>
          <w:lang w:eastAsia="zh-CN"/>
        </w:rPr>
      </w:pPr>
      <w:r>
        <w:t xml:space="preserve">Figure </w:t>
      </w:r>
      <w:fldSimple w:instr=" SEQ Figure \* ARABIC ">
        <w:r w:rsidR="00BC2A9E">
          <w:rPr>
            <w:noProof/>
          </w:rPr>
          <w:t>4</w:t>
        </w:r>
      </w:fldSimple>
      <w:r>
        <w:t>: Active TCI state list for dual TCI</w:t>
      </w:r>
    </w:p>
    <w:p w14:paraId="1A60DA31" w14:textId="6CCB02F0" w:rsidR="00A64B89" w:rsidRDefault="00C305AF" w:rsidP="00B949DB">
      <w:pPr>
        <w:rPr>
          <w:b/>
          <w:iCs/>
        </w:rPr>
      </w:pPr>
      <w:r>
        <w:t xml:space="preserve">Furthermore, </w:t>
      </w:r>
      <w:r w:rsidR="00A3554C">
        <w:t xml:space="preserve">similarly </w:t>
      </w:r>
      <w:r>
        <w:t xml:space="preserve">as in </w:t>
      </w:r>
      <w:r w:rsidR="00F20382">
        <w:t xml:space="preserve">the </w:t>
      </w:r>
      <w:r>
        <w:t>legacy</w:t>
      </w:r>
      <w:r w:rsidR="00580377">
        <w:t xml:space="preserve"> requirement</w:t>
      </w:r>
      <w:r>
        <w:t xml:space="preserve">, </w:t>
      </w:r>
      <w:proofErr w:type="spellStart"/>
      <w:r w:rsidR="00580377">
        <w:t>T</w:t>
      </w:r>
      <w:r w:rsidR="00580377" w:rsidRPr="00DF6DF4">
        <w:rPr>
          <w:vertAlign w:val="subscript"/>
        </w:rPr>
        <w:t>first</w:t>
      </w:r>
      <w:proofErr w:type="spellEnd"/>
      <w:r w:rsidR="00580377" w:rsidRPr="00DF6DF4">
        <w:rPr>
          <w:vertAlign w:val="subscript"/>
        </w:rPr>
        <w:t>-SSB</w:t>
      </w:r>
      <w:r w:rsidR="00580377">
        <w:t xml:space="preserve"> </w:t>
      </w:r>
      <w:r w:rsidR="003751C8">
        <w:t xml:space="preserve">for each TCI state </w:t>
      </w:r>
      <w:r w:rsidR="00580377">
        <w:t xml:space="preserve">should only be </w:t>
      </w:r>
      <w:proofErr w:type="gramStart"/>
      <w:r w:rsidR="00580377">
        <w:t>taken into account</w:t>
      </w:r>
      <w:proofErr w:type="gramEnd"/>
      <w:r w:rsidR="00580377">
        <w:t xml:space="preserve"> </w:t>
      </w:r>
      <w:r w:rsidR="00F20382">
        <w:t xml:space="preserve">if the corresponding target TCI state is not </w:t>
      </w:r>
      <w:r w:rsidR="003751C8">
        <w:t xml:space="preserve">already </w:t>
      </w:r>
      <w:r w:rsidR="00F20382">
        <w:t>in the current active TCI state list.</w:t>
      </w:r>
    </w:p>
    <w:p w14:paraId="33A379EA" w14:textId="41CBCEF6" w:rsidR="00F20382" w:rsidRPr="00F20382" w:rsidRDefault="00F20382" w:rsidP="00046AEA">
      <w:pPr>
        <w:pStyle w:val="RAN4proposal"/>
      </w:pPr>
      <w:bookmarkStart w:id="33" w:name="_Toc135068275"/>
      <w:proofErr w:type="spellStart"/>
      <w:r>
        <w:t>T</w:t>
      </w:r>
      <w:r w:rsidRPr="00046AEA">
        <w:rPr>
          <w:vertAlign w:val="subscript"/>
        </w:rPr>
        <w:t>first</w:t>
      </w:r>
      <w:proofErr w:type="spellEnd"/>
      <w:r w:rsidRPr="00046AEA">
        <w:rPr>
          <w:vertAlign w:val="subscript"/>
        </w:rPr>
        <w:t>-SSB</w:t>
      </w:r>
      <w:r>
        <w:t xml:space="preserve"> is not included in the active TCI state list update </w:t>
      </w:r>
      <w:r w:rsidR="00C96947">
        <w:t xml:space="preserve">delay </w:t>
      </w:r>
      <w:r>
        <w:t>for a target TCI state that is already in the active TCI state list.</w:t>
      </w:r>
      <w:bookmarkEnd w:id="33"/>
    </w:p>
    <w:p w14:paraId="53C74C66" w14:textId="29EFF870" w:rsidR="004A52BC" w:rsidRDefault="002748C7" w:rsidP="004A52BC">
      <w:r>
        <w:rPr>
          <w:noProof/>
        </w:rPr>
        <mc:AlternateContent>
          <mc:Choice Requires="wps">
            <w:drawing>
              <wp:anchor distT="0" distB="0" distL="114300" distR="114300" simplePos="0" relativeHeight="251658240" behindDoc="0" locked="0" layoutInCell="1" allowOverlap="1" wp14:anchorId="09A3A1B4" wp14:editId="3B0A33C4">
                <wp:simplePos x="0" y="0"/>
                <wp:positionH relativeFrom="column">
                  <wp:posOffset>69850</wp:posOffset>
                </wp:positionH>
                <wp:positionV relativeFrom="paragraph">
                  <wp:posOffset>245110</wp:posOffset>
                </wp:positionV>
                <wp:extent cx="6134100" cy="172720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6134100" cy="1727200"/>
                        </a:xfrm>
                        <a:prstGeom prst="rect">
                          <a:avLst/>
                        </a:prstGeom>
                        <a:solidFill>
                          <a:schemeClr val="lt1"/>
                        </a:solidFill>
                        <a:ln w="6350">
                          <a:solidFill>
                            <a:prstClr val="black"/>
                          </a:solidFill>
                        </a:ln>
                      </wps:spPr>
                      <wps:txbx>
                        <w:txbxContent>
                          <w:p w14:paraId="4D40ED8C" w14:textId="0A8271B3" w:rsidR="00E17F38" w:rsidRPr="00CA6C75" w:rsidRDefault="008537B1" w:rsidP="00046AEA">
                            <w:pPr>
                              <w:jc w:val="left"/>
                              <w:rPr>
                                <w:rFonts w:eastAsia="Times New Roman" w:cs="Times New Roman"/>
                                <w:szCs w:val="20"/>
                                <w:lang w:val="en-GB"/>
                              </w:rPr>
                            </w:pPr>
                            <w:r>
                              <w:t>When active TCI state list update involves two TCI states</w:t>
                            </w:r>
                            <w:r w:rsidR="0041293A">
                              <w:t xml:space="preserve">, upon receiving PDSCH carrying MAC-CE </w:t>
                            </w:r>
                            <w:r w:rsidR="0041293A" w:rsidRPr="00F0231E">
                              <w:rPr>
                                <w:rFonts w:eastAsia="Times New Roman" w:cs="Times New Roman"/>
                                <w:szCs w:val="20"/>
                                <w:lang w:val="en-GB"/>
                              </w:rPr>
                              <w:t>active TCI state list update at slot n, UE</w:t>
                            </w:r>
                            <w:r>
                              <w:rPr>
                                <w:rFonts w:eastAsia="Times New Roman" w:cs="Times New Roman"/>
                                <w:szCs w:val="20"/>
                                <w:lang w:val="en-GB"/>
                              </w:rPr>
                              <w:t xml:space="preserve"> </w:t>
                            </w:r>
                            <w:r w:rsidR="0041293A" w:rsidRPr="00F0231E">
                              <w:rPr>
                                <w:rFonts w:eastAsia="Times New Roman" w:cs="Times New Roman"/>
                                <w:szCs w:val="20"/>
                                <w:lang w:val="en-GB"/>
                              </w:rPr>
                              <w:t>shall be able to receive PDCCH to schedule PDSCH with the new target</w:t>
                            </w:r>
                            <w:r w:rsidR="0041293A">
                              <w:t xml:space="preserve"> TCI state</w:t>
                            </w:r>
                            <w:r w:rsidR="0078780B">
                              <w:t>s</w:t>
                            </w:r>
                            <w:r w:rsidR="0041293A">
                              <w:t xml:space="preserve"> at the first slot that is after </w:t>
                            </w:r>
                            <w:r w:rsidR="006F69BA" w:rsidRPr="007277E3">
                              <w:rPr>
                                <w:szCs w:val="20"/>
                                <w:lang w:eastAsia="zh-CN"/>
                              </w:rPr>
                              <w:t>n+</w:t>
                            </w:r>
                            <w:r w:rsidR="006F69BA" w:rsidRPr="007277E3">
                              <w:rPr>
                                <w:rFonts w:eastAsia="Malgun Gothic"/>
                                <w:szCs w:val="20"/>
                                <w:lang w:eastAsia="zh-CN"/>
                              </w:rPr>
                              <w:t xml:space="preserve"> T</w:t>
                            </w:r>
                            <w:r w:rsidR="006F69BA" w:rsidRPr="007277E3">
                              <w:rPr>
                                <w:rFonts w:eastAsia="Malgun Gothic"/>
                                <w:szCs w:val="20"/>
                                <w:vertAlign w:val="subscript"/>
                                <w:lang w:eastAsia="zh-CN"/>
                              </w:rPr>
                              <w:t>HARQ</w:t>
                            </w:r>
                            <w:r w:rsidR="006F69BA" w:rsidRPr="007277E3">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006F69BA" w:rsidRPr="007277E3">
                              <w:rPr>
                                <w:rFonts w:eastAsia="Malgun Gothic"/>
                                <w:szCs w:val="20"/>
                                <w:lang w:eastAsia="zh-CN"/>
                              </w:rPr>
                              <w:t xml:space="preserve"> +</w:t>
                            </w:r>
                            <w:r w:rsidR="00000E49" w:rsidRPr="00000E49">
                              <w:t xml:space="preserve"> </w:t>
                            </w:r>
                            <w:r w:rsidR="006F69BA" w:rsidRPr="007277E3">
                              <w:rPr>
                                <w:rFonts w:eastAsia="Malgun Gothic"/>
                                <w:szCs w:val="20"/>
                                <w:lang w:eastAsia="zh-CN"/>
                              </w:rPr>
                              <w:t>(</w:t>
                            </w:r>
                            <w:r w:rsidR="001614EE">
                              <w:rPr>
                                <w:rFonts w:eastAsia="Malgun Gothic"/>
                                <w:szCs w:val="20"/>
                                <w:lang w:eastAsia="zh-CN"/>
                              </w:rPr>
                              <w:t>max (</w:t>
                            </w:r>
                            <w:r w:rsidR="006F69BA" w:rsidRPr="007277E3">
                              <w:rPr>
                                <w:rFonts w:eastAsia="Malgun Gothic"/>
                                <w:szCs w:val="20"/>
                                <w:lang w:eastAsia="zh-CN"/>
                              </w:rPr>
                              <w:t>T</w:t>
                            </w:r>
                            <w:r w:rsidR="006F69BA" w:rsidRPr="007277E3">
                              <w:rPr>
                                <w:rFonts w:eastAsia="Malgun Gothic"/>
                                <w:szCs w:val="20"/>
                                <w:vertAlign w:val="subscript"/>
                                <w:lang w:eastAsia="zh-CN"/>
                              </w:rPr>
                              <w:t>first-SSB</w:t>
                            </w:r>
                            <w:r w:rsidR="001614EE">
                              <w:rPr>
                                <w:rFonts w:eastAsia="Malgun Gothic"/>
                                <w:szCs w:val="20"/>
                                <w:vertAlign w:val="subscript"/>
                                <w:lang w:eastAsia="zh-CN"/>
                              </w:rPr>
                              <w:t>1</w:t>
                            </w:r>
                            <w:r w:rsidR="003E226D" w:rsidRPr="003E226D">
                              <w:rPr>
                                <w:rFonts w:eastAsia="Malgun Gothic"/>
                                <w:szCs w:val="20"/>
                                <w:lang w:eastAsia="zh-CN"/>
                              </w:rPr>
                              <w:t>,</w:t>
                            </w:r>
                            <w:r w:rsidR="001614EE" w:rsidRPr="001614EE">
                              <w:rPr>
                                <w:rFonts w:eastAsia="Malgun Gothic"/>
                                <w:szCs w:val="20"/>
                                <w:lang w:eastAsia="zh-CN"/>
                              </w:rPr>
                              <w:t xml:space="preserve"> </w:t>
                            </w:r>
                            <w:r w:rsidR="001614EE" w:rsidRPr="007277E3">
                              <w:rPr>
                                <w:rFonts w:eastAsia="Malgun Gothic"/>
                                <w:szCs w:val="20"/>
                                <w:lang w:eastAsia="zh-CN"/>
                              </w:rPr>
                              <w:t>T</w:t>
                            </w:r>
                            <w:r w:rsidR="001614EE" w:rsidRPr="007277E3">
                              <w:rPr>
                                <w:rFonts w:eastAsia="Malgun Gothic"/>
                                <w:szCs w:val="20"/>
                                <w:vertAlign w:val="subscript"/>
                                <w:lang w:eastAsia="zh-CN"/>
                              </w:rPr>
                              <w:t>first-SSB</w:t>
                            </w:r>
                            <w:r w:rsidR="003E226D">
                              <w:rPr>
                                <w:rFonts w:eastAsia="Malgun Gothic"/>
                                <w:szCs w:val="20"/>
                                <w:vertAlign w:val="subscript"/>
                                <w:lang w:eastAsia="zh-CN"/>
                              </w:rPr>
                              <w:t>2</w:t>
                            </w:r>
                            <w:r w:rsidR="003E226D">
                              <w:rPr>
                                <w:rFonts w:eastAsia="Malgun Gothic"/>
                                <w:szCs w:val="20"/>
                                <w:lang w:eastAsia="zh-CN"/>
                              </w:rPr>
                              <w:t>)</w:t>
                            </w:r>
                            <w:r w:rsidR="006F69BA" w:rsidRPr="007277E3">
                              <w:rPr>
                                <w:rFonts w:eastAsia="Malgun Gothic"/>
                                <w:szCs w:val="20"/>
                                <w:lang w:eastAsia="zh-CN"/>
                              </w:rPr>
                              <w:t>+T</w:t>
                            </w:r>
                            <w:r w:rsidR="006F69BA" w:rsidRPr="007277E3">
                              <w:rPr>
                                <w:rFonts w:eastAsia="Malgun Gothic"/>
                                <w:szCs w:val="20"/>
                                <w:vertAlign w:val="subscript"/>
                                <w:lang w:eastAsia="zh-CN"/>
                              </w:rPr>
                              <w:t>SSB-proc</w:t>
                            </w:r>
                            <w:r w:rsidR="006F69BA" w:rsidRPr="007277E3">
                              <w:rPr>
                                <w:rFonts w:eastAsia="Malgun Gothic"/>
                                <w:szCs w:val="20"/>
                                <w:lang w:eastAsia="zh-CN"/>
                              </w:rPr>
                              <w:t>)/</w:t>
                            </w:r>
                            <w:r w:rsidR="006F69BA" w:rsidRPr="007277E3">
                              <w:rPr>
                                <w:i/>
                                <w:szCs w:val="20"/>
                                <w:lang w:eastAsia="zh-CN"/>
                              </w:rPr>
                              <w:t>NR slot length</w:t>
                            </w:r>
                            <w:r w:rsidR="006F69BA" w:rsidDel="006F69BA">
                              <w:t xml:space="preserve"> </w:t>
                            </w:r>
                            <w:r w:rsidR="00993F60" w:rsidRPr="008E6FBA">
                              <w:rPr>
                                <w:color w:val="4472C4" w:themeColor="accent1"/>
                                <w:u w:val="single"/>
                                <w:lang w:eastAsia="zh-CN"/>
                              </w:rPr>
                              <w:t>-</w:t>
                            </w:r>
                            <w:r w:rsidR="00E17F38" w:rsidRPr="00CA6C75">
                              <w:rPr>
                                <w:rFonts w:eastAsia="Times New Roman" w:cs="Times New Roman"/>
                                <w:szCs w:val="20"/>
                                <w:lang w:val="en-GB"/>
                              </w:rPr>
                              <w:t>wh</w:t>
                            </w:r>
                            <w:r w:rsidR="00CA14C6" w:rsidRPr="00CA6C75">
                              <w:rPr>
                                <w:rFonts w:eastAsia="Times New Roman" w:cs="Times New Roman"/>
                                <w:szCs w:val="20"/>
                                <w:lang w:val="en-GB"/>
                              </w:rPr>
                              <w:t>e</w:t>
                            </w:r>
                            <w:r w:rsidR="00E17F38" w:rsidRPr="00CA6C75">
                              <w:rPr>
                                <w:rFonts w:eastAsia="Times New Roman" w:cs="Times New Roman"/>
                                <w:szCs w:val="20"/>
                                <w:lang w:val="en-GB"/>
                              </w:rPr>
                              <w:t>re</w:t>
                            </w:r>
                          </w:p>
                          <w:p w14:paraId="2EFBCEDD" w14:textId="676BEE2D" w:rsidR="00993F60" w:rsidRPr="008E6FBA" w:rsidRDefault="00993F60" w:rsidP="00DF6DF4">
                            <w:pPr>
                              <w:ind w:left="720"/>
                              <w:rPr>
                                <w:color w:val="4472C4" w:themeColor="accent1"/>
                                <w:u w:val="single"/>
                                <w:lang w:eastAsia="zh-CN"/>
                              </w:rPr>
                            </w:pPr>
                            <w:r w:rsidRPr="00CA6C75">
                              <w:rPr>
                                <w:rFonts w:eastAsia="Times New Roman" w:cs="Times New Roman"/>
                                <w:szCs w:val="20"/>
                                <w:lang w:val="en-GB"/>
                              </w:rPr>
                              <w:t>T</w:t>
                            </w:r>
                            <w:r w:rsidRPr="00CA6C75">
                              <w:rPr>
                                <w:rFonts w:eastAsia="Times New Roman" w:cs="Times New Roman"/>
                                <w:szCs w:val="20"/>
                                <w:vertAlign w:val="subscript"/>
                                <w:lang w:val="en-GB"/>
                              </w:rPr>
                              <w:t>first-SSB</w:t>
                            </w:r>
                            <w:r w:rsidR="006B7511">
                              <w:rPr>
                                <w:rFonts w:eastAsia="Times New Roman" w:cs="Times New Roman"/>
                                <w:szCs w:val="20"/>
                                <w:vertAlign w:val="subscript"/>
                                <w:lang w:val="en-GB"/>
                              </w:rPr>
                              <w:t>1</w:t>
                            </w:r>
                            <w:r w:rsidRPr="00CA6C75">
                              <w:rPr>
                                <w:rFonts w:eastAsia="Times New Roman" w:cs="Times New Roman"/>
                                <w:szCs w:val="20"/>
                                <w:lang w:val="en-GB"/>
                              </w:rPr>
                              <w:t xml:space="preserve"> </w:t>
                            </w:r>
                            <w:r w:rsidR="006B7511">
                              <w:rPr>
                                <w:rFonts w:eastAsia="Times New Roman" w:cs="Times New Roman"/>
                                <w:szCs w:val="20"/>
                                <w:lang w:val="en-GB"/>
                              </w:rPr>
                              <w:t xml:space="preserve">and </w:t>
                            </w:r>
                            <w:r w:rsidR="006B7511" w:rsidRPr="007277E3">
                              <w:rPr>
                                <w:rFonts w:eastAsia="Malgun Gothic"/>
                                <w:szCs w:val="20"/>
                                <w:lang w:eastAsia="zh-CN"/>
                              </w:rPr>
                              <w:t>T</w:t>
                            </w:r>
                            <w:r w:rsidR="006B7511" w:rsidRPr="007277E3">
                              <w:rPr>
                                <w:rFonts w:eastAsia="Malgun Gothic"/>
                                <w:szCs w:val="20"/>
                                <w:vertAlign w:val="subscript"/>
                                <w:lang w:eastAsia="zh-CN"/>
                              </w:rPr>
                              <w:t>first-</w:t>
                            </w:r>
                            <w:r w:rsidR="006B7511" w:rsidRPr="00FF3860">
                              <w:rPr>
                                <w:rFonts w:eastAsia="Malgun Gothic"/>
                                <w:szCs w:val="20"/>
                                <w:vertAlign w:val="subscript"/>
                                <w:lang w:eastAsia="zh-CN"/>
                              </w:rPr>
                              <w:t>SSB2</w:t>
                            </w:r>
                            <w:r>
                              <w:rPr>
                                <w:rFonts w:eastAsia="Malgun Gothic"/>
                                <w:szCs w:val="20"/>
                                <w:lang w:eastAsia="zh-CN"/>
                              </w:rPr>
                              <w:t xml:space="preserve"> </w:t>
                            </w:r>
                            <w:r w:rsidRPr="00CA6C75">
                              <w:rPr>
                                <w:rFonts w:eastAsia="Times New Roman" w:cs="Times New Roman"/>
                                <w:szCs w:val="20"/>
                                <w:lang w:val="en-GB"/>
                              </w:rPr>
                              <w:t xml:space="preserve">is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time to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first SSB transmission </w:t>
                            </w:r>
                            <w:r w:rsidR="003151A2" w:rsidRPr="00CA6C75">
                              <w:rPr>
                                <w:rFonts w:eastAsia="Times New Roman" w:cs="Times New Roman"/>
                                <w:szCs w:val="20"/>
                                <w:lang w:val="en-GB"/>
                              </w:rPr>
                              <w:t>for each of t</w:t>
                            </w:r>
                            <w:r w:rsidR="00CB5CA9" w:rsidRPr="00CA6C75">
                              <w:rPr>
                                <w:rFonts w:eastAsia="Times New Roman" w:cs="Times New Roman"/>
                                <w:szCs w:val="20"/>
                                <w:lang w:val="en-GB"/>
                              </w:rPr>
                              <w:t>he</w:t>
                            </w:r>
                            <w:r w:rsidR="00BA1507" w:rsidRPr="00CA6C75">
                              <w:rPr>
                                <w:rFonts w:eastAsia="Times New Roman" w:cs="Times New Roman"/>
                                <w:szCs w:val="20"/>
                                <w:lang w:val="en-GB"/>
                              </w:rPr>
                              <w:t xml:space="preserve"> </w:t>
                            </w:r>
                            <w:r w:rsidR="00FF3860">
                              <w:rPr>
                                <w:rFonts w:eastAsia="Times New Roman" w:cs="Times New Roman"/>
                                <w:szCs w:val="20"/>
                                <w:lang w:val="en-GB"/>
                              </w:rPr>
                              <w:t xml:space="preserve">two </w:t>
                            </w:r>
                            <w:r w:rsidR="00F50810" w:rsidRPr="00CA6C75">
                              <w:rPr>
                                <w:rFonts w:eastAsia="Times New Roman" w:cs="Times New Roman"/>
                                <w:szCs w:val="20"/>
                                <w:lang w:val="en-GB"/>
                              </w:rPr>
                              <w:t xml:space="preserve">target </w:t>
                            </w:r>
                            <w:r w:rsidR="00BA1507" w:rsidRPr="00CA6C75">
                              <w:rPr>
                                <w:rFonts w:eastAsia="Times New Roman" w:cs="Times New Roman"/>
                                <w:szCs w:val="20"/>
                                <w:lang w:val="en-GB"/>
                              </w:rPr>
                              <w:t>TCI</w:t>
                            </w:r>
                            <w:r w:rsidR="00515E17" w:rsidRPr="00CA6C75">
                              <w:rPr>
                                <w:rFonts w:eastAsia="Times New Roman" w:cs="Times New Roman"/>
                                <w:szCs w:val="20"/>
                                <w:lang w:val="en-GB"/>
                              </w:rPr>
                              <w:t xml:space="preserve"> st</w:t>
                            </w:r>
                            <w:r w:rsidR="005F0A62" w:rsidRPr="00CA6C75">
                              <w:rPr>
                                <w:rFonts w:eastAsia="Times New Roman" w:cs="Times New Roman"/>
                                <w:szCs w:val="20"/>
                                <w:lang w:val="en-GB"/>
                              </w:rPr>
                              <w:t>ate</w:t>
                            </w:r>
                            <w:r w:rsidR="00FF3860">
                              <w:rPr>
                                <w:rFonts w:eastAsia="Times New Roman" w:cs="Times New Roman"/>
                                <w:szCs w:val="20"/>
                                <w:lang w:val="en-GB"/>
                              </w:rPr>
                              <w:t>s</w:t>
                            </w:r>
                            <w:r w:rsidR="005F0A62" w:rsidRPr="00CA6C75">
                              <w:rPr>
                                <w:rFonts w:eastAsia="Times New Roman" w:cs="Times New Roman"/>
                                <w:szCs w:val="20"/>
                                <w:lang w:val="en-GB"/>
                              </w:rPr>
                              <w:t xml:space="preserve"> </w:t>
                            </w:r>
                            <w:r w:rsidRPr="00CA6C75">
                              <w:rPr>
                                <w:rFonts w:eastAsia="Times New Roman" w:cs="Times New Roman"/>
                                <w:szCs w:val="20"/>
                                <w:lang w:val="en-GB"/>
                              </w:rPr>
                              <w:t>after MAC CE command is decoded by the UE; The SSB shall be the QCL-</w:t>
                            </w:r>
                            <w:proofErr w:type="spellStart"/>
                            <w:r w:rsidRPr="00CA6C75">
                              <w:rPr>
                                <w:rFonts w:eastAsia="Times New Roman" w:cs="Times New Roman"/>
                                <w:szCs w:val="20"/>
                                <w:lang w:val="en-GB"/>
                              </w:rPr>
                              <w:t>TypeA</w:t>
                            </w:r>
                            <w:proofErr w:type="spellEnd"/>
                            <w:r w:rsidRPr="00CA6C75">
                              <w:rPr>
                                <w:rFonts w:eastAsia="Times New Roman" w:cs="Times New Roman"/>
                                <w:szCs w:val="20"/>
                                <w:lang w:val="en-GB"/>
                              </w:rPr>
                              <w:t xml:space="preserve"> or QCL-</w:t>
                            </w:r>
                            <w:proofErr w:type="spellStart"/>
                            <w:r w:rsidRPr="00CA6C75">
                              <w:rPr>
                                <w:rFonts w:eastAsia="Times New Roman" w:cs="Times New Roman"/>
                                <w:szCs w:val="20"/>
                                <w:lang w:val="en-GB"/>
                              </w:rPr>
                              <w:t>TypeC</w:t>
                            </w:r>
                            <w:proofErr w:type="spellEnd"/>
                            <w:r w:rsidRPr="00CA6C75">
                              <w:rPr>
                                <w:rFonts w:eastAsia="Times New Roman" w:cs="Times New Roman"/>
                                <w:szCs w:val="20"/>
                                <w:lang w:val="en-GB"/>
                              </w:rPr>
                              <w:t xml:space="preserve"> to </w:t>
                            </w:r>
                            <w:r w:rsidR="008E6FBA" w:rsidRPr="00CA6C75">
                              <w:rPr>
                                <w:rFonts w:eastAsia="Times New Roman" w:cs="Times New Roman"/>
                                <w:szCs w:val="20"/>
                                <w:lang w:val="en-GB"/>
                              </w:rPr>
                              <w:t xml:space="preserve">the </w:t>
                            </w:r>
                            <w:r w:rsidRPr="00CA6C75">
                              <w:rPr>
                                <w:rFonts w:eastAsia="Times New Roman" w:cs="Times New Roman"/>
                                <w:szCs w:val="20"/>
                                <w:lang w:val="en-GB"/>
                              </w:rPr>
                              <w:t>target TCI state</w:t>
                            </w:r>
                            <w:r w:rsidR="003D606D">
                              <w:rPr>
                                <w:rFonts w:eastAsia="Times New Roman" w:cs="Times New Roman"/>
                                <w:szCs w:val="20"/>
                                <w:lang w:val="en-GB"/>
                              </w:rPr>
                              <w:t xml:space="preserve">. </w:t>
                            </w:r>
                            <w:r w:rsidR="003D606D" w:rsidRPr="00F32EBC">
                              <w:rPr>
                                <w:rFonts w:eastAsia="Times New Roman" w:cs="Times New Roman"/>
                                <w:szCs w:val="20"/>
                                <w:lang w:val="en-GB"/>
                              </w:rPr>
                              <w:t xml:space="preserve">If </w:t>
                            </w:r>
                            <w:r w:rsidR="00D110F6">
                              <w:rPr>
                                <w:rFonts w:eastAsia="Times New Roman" w:cs="Times New Roman"/>
                                <w:szCs w:val="20"/>
                                <w:lang w:val="en-GB"/>
                              </w:rPr>
                              <w:t>a</w:t>
                            </w:r>
                            <w:r w:rsidR="003D606D" w:rsidRPr="00F32EBC">
                              <w:rPr>
                                <w:rFonts w:eastAsia="Times New Roman" w:cs="Times New Roman"/>
                                <w:szCs w:val="20"/>
                                <w:lang w:val="en-GB"/>
                              </w:rPr>
                              <w:t xml:space="preserve"> target TCI state </w:t>
                            </w:r>
                            <w:r w:rsidR="00E32810">
                              <w:rPr>
                                <w:rFonts w:eastAsia="Times New Roman" w:cs="Times New Roman"/>
                                <w:szCs w:val="20"/>
                                <w:lang w:val="en-GB"/>
                              </w:rPr>
                              <w:t>is already</w:t>
                            </w:r>
                            <w:r w:rsidR="003D606D" w:rsidRPr="00F32EBC">
                              <w:rPr>
                                <w:rFonts w:eastAsia="Times New Roman" w:cs="Times New Roman"/>
                                <w:szCs w:val="20"/>
                                <w:lang w:val="en-GB"/>
                              </w:rPr>
                              <w:t xml:space="preserve"> in the active TCI state list</w:t>
                            </w:r>
                            <w:r w:rsidR="00E32810">
                              <w:rPr>
                                <w:rFonts w:eastAsia="Times New Roman" w:cs="Times New Roman"/>
                                <w:szCs w:val="20"/>
                                <w:lang w:val="en-GB"/>
                              </w:rPr>
                              <w:t xml:space="preserve"> for PDSCH</w:t>
                            </w:r>
                            <w:r w:rsidR="003D606D" w:rsidRPr="00F32EBC">
                              <w:rPr>
                                <w:rFonts w:eastAsia="Times New Roman" w:cs="Times New Roman"/>
                                <w:szCs w:val="20"/>
                                <w:lang w:val="en-GB"/>
                              </w:rPr>
                              <w:t xml:space="preserve">, then </w:t>
                            </w:r>
                            <w:proofErr w:type="spellStart"/>
                            <w:r w:rsidR="003D606D" w:rsidRPr="00F32EBC">
                              <w:rPr>
                                <w:rFonts w:eastAsia="Times New Roman" w:cs="Times New Roman"/>
                                <w:szCs w:val="20"/>
                                <w:lang w:val="en-GB"/>
                              </w:rPr>
                              <w:t>T</w:t>
                            </w:r>
                            <w:r w:rsidR="003D606D" w:rsidRPr="00F449FC">
                              <w:rPr>
                                <w:rFonts w:eastAsia="Times New Roman" w:cs="Times New Roman"/>
                                <w:szCs w:val="20"/>
                                <w:vertAlign w:val="subscript"/>
                                <w:lang w:val="en-GB"/>
                              </w:rPr>
                              <w:t>firstSSB</w:t>
                            </w:r>
                            <w:proofErr w:type="spellEnd"/>
                            <w:r w:rsidR="003D606D" w:rsidRPr="00F32EBC">
                              <w:rPr>
                                <w:rFonts w:eastAsia="Times New Roman" w:cs="Times New Roman"/>
                                <w:szCs w:val="20"/>
                                <w:lang w:val="en-GB"/>
                              </w:rPr>
                              <w:t xml:space="preserve"> for th</w:t>
                            </w:r>
                            <w:r w:rsidR="003D606D">
                              <w:rPr>
                                <w:rFonts w:eastAsia="Times New Roman" w:cs="Times New Roman"/>
                                <w:szCs w:val="20"/>
                                <w:lang w:val="en-GB"/>
                              </w:rPr>
                              <w:t>at</w:t>
                            </w:r>
                            <w:r w:rsidR="003D606D" w:rsidRPr="00F32EBC">
                              <w:rPr>
                                <w:rFonts w:eastAsia="Times New Roman" w:cs="Times New Roman"/>
                                <w:szCs w:val="20"/>
                                <w:lang w:val="en-GB"/>
                              </w:rPr>
                              <w:t xml:space="preserve"> TCI state </w:t>
                            </w:r>
                            <w:r w:rsidR="00E32810">
                              <w:rPr>
                                <w:rFonts w:eastAsia="Times New Roman" w:cs="Times New Roman"/>
                                <w:szCs w:val="20"/>
                                <w:lang w:val="en-GB"/>
                              </w:rPr>
                              <w:t>is</w:t>
                            </w:r>
                            <w:r w:rsidR="003D606D" w:rsidRPr="00F32EBC">
                              <w:rPr>
                                <w:rFonts w:eastAsia="Times New Roman" w:cs="Times New Roman"/>
                                <w:szCs w:val="20"/>
                                <w:lang w:val="en-GB"/>
                              </w:rPr>
                              <w:t xml:space="preserve"> 0</w:t>
                            </w:r>
                            <w:r w:rsidR="00E32810">
                              <w:rPr>
                                <w:rFonts w:eastAsia="Times New Roman" w:cs="Times New Roman"/>
                                <w:szCs w:val="20"/>
                                <w:lang w:val="en-GB"/>
                              </w:rPr>
                              <w:t>.</w:t>
                            </w:r>
                          </w:p>
                          <w:p w14:paraId="0D3BC656" w14:textId="6DD71011" w:rsidR="00993F60" w:rsidRDefault="00993F60" w:rsidP="00DF6DF4">
                            <w:pPr>
                              <w:pStyle w:val="B1"/>
                              <w:ind w:left="720" w:firstLine="0"/>
                              <w:rPr>
                                <w:lang w:eastAsia="zh-CN"/>
                              </w:rPr>
                            </w:pPr>
                            <w:r>
                              <w:rPr>
                                <w:lang w:eastAsia="zh-CN"/>
                              </w:rPr>
                              <w:t>T</w:t>
                            </w:r>
                            <w:r>
                              <w:rPr>
                                <w:vertAlign w:val="subscript"/>
                                <w:lang w:eastAsia="zh-CN"/>
                              </w:rPr>
                              <w:t xml:space="preserve">SSB-proc </w:t>
                            </w:r>
                            <w:r>
                              <w:rPr>
                                <w:lang w:eastAsia="zh-CN"/>
                              </w:rPr>
                              <w:t xml:space="preserve">= </w:t>
                            </w:r>
                            <w:r w:rsidR="00D1071F">
                              <w:t>0, if both target TCI states are in the active TCI state list for PDSCH</w:t>
                            </w:r>
                            <w:r w:rsidR="00D1071F">
                              <w:rPr>
                                <w:lang w:eastAsia="zh-CN"/>
                              </w:rPr>
                              <w:t xml:space="preserve">. Otherwise </w:t>
                            </w:r>
                            <w:r>
                              <w:rPr>
                                <w:lang w:eastAsia="zh-CN"/>
                              </w:rPr>
                              <w:t>T</w:t>
                            </w:r>
                            <w:r w:rsidRPr="00595A76">
                              <w:rPr>
                                <w:vertAlign w:val="subscript"/>
                                <w:lang w:eastAsia="zh-CN"/>
                              </w:rPr>
                              <w:t>SSB-proc</w:t>
                            </w:r>
                            <w:r>
                              <w:rPr>
                                <w:lang w:eastAsia="zh-CN"/>
                              </w:rPr>
                              <w:t xml:space="preserve"> = 2 </w:t>
                            </w:r>
                            <w:proofErr w:type="gramStart"/>
                            <w:r>
                              <w:rPr>
                                <w:lang w:eastAsia="zh-CN"/>
                              </w:rPr>
                              <w:t>ms;</w:t>
                            </w:r>
                            <w:proofErr w:type="gramEnd"/>
                            <w:r>
                              <w:rPr>
                                <w:lang w:eastAsia="zh-CN"/>
                              </w:rPr>
                              <w:t xml:space="preserve"> </w:t>
                            </w:r>
                          </w:p>
                          <w:p w14:paraId="037CEA9B" w14:textId="2AA67633" w:rsidR="002E2959" w:rsidRDefault="002E2959">
                            <w:r>
                              <w:t xml:space="preserve"> </w:t>
                            </w:r>
                          </w:p>
                          <w:p w14:paraId="4F114630" w14:textId="21CDF074" w:rsidR="00E81B36" w:rsidRDefault="00E81B36"/>
                          <w:p w14:paraId="748E67C8" w14:textId="2D53BA46" w:rsidR="00E81B36" w:rsidRDefault="00E81B36"/>
                          <w:p w14:paraId="001DDBB6" w14:textId="77777777" w:rsidR="00E81B36" w:rsidRDefault="00E81B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A3A1B4" id="_x0000_t202" coordsize="21600,21600" o:spt="202" path="m,l,21600r21600,l21600,xe">
                <v:stroke joinstyle="miter"/>
                <v:path gradientshapeok="t" o:connecttype="rect"/>
              </v:shapetype>
              <v:shape id="Text Box 4" o:spid="_x0000_s1026" type="#_x0000_t202" style="position:absolute;left:0;text-align:left;margin-left:5.5pt;margin-top:19.3pt;width:483pt;height:1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" fillcolor="white [3201]" strokeweight=".5pt">
                <v:textbox>
                  <w:txbxContent>
                    <w:p w14:paraId="4D40ED8C" w14:textId="0A8271B3" w:rsidR="00E17F38" w:rsidRPr="00CA6C75" w:rsidRDefault="008537B1" w:rsidP="00046AEA">
                      <w:pPr>
                        <w:jc w:val="left"/>
                        <w:rPr>
                          <w:rFonts w:eastAsia="Times New Roman" w:cs="Times New Roman"/>
                          <w:szCs w:val="20"/>
                          <w:lang w:val="en-GB"/>
                        </w:rPr>
                      </w:pPr>
                      <w:r>
                        <w:t>When active TCI state list update involves two TCI states</w:t>
                      </w:r>
                      <w:r w:rsidR="0041293A">
                        <w:t xml:space="preserve">, upon receiving PDSCH carrying MAC-CE </w:t>
                      </w:r>
                      <w:r w:rsidR="0041293A" w:rsidRPr="00F0231E">
                        <w:rPr>
                          <w:rFonts w:eastAsia="Times New Roman" w:cs="Times New Roman"/>
                          <w:szCs w:val="20"/>
                          <w:lang w:val="en-GB"/>
                        </w:rPr>
                        <w:t>active TCI state list update at slot n, UE</w:t>
                      </w:r>
                      <w:r>
                        <w:rPr>
                          <w:rFonts w:eastAsia="Times New Roman" w:cs="Times New Roman"/>
                          <w:szCs w:val="20"/>
                          <w:lang w:val="en-GB"/>
                        </w:rPr>
                        <w:t xml:space="preserve"> </w:t>
                      </w:r>
                      <w:r w:rsidR="0041293A" w:rsidRPr="00F0231E">
                        <w:rPr>
                          <w:rFonts w:eastAsia="Times New Roman" w:cs="Times New Roman"/>
                          <w:szCs w:val="20"/>
                          <w:lang w:val="en-GB"/>
                        </w:rPr>
                        <w:t>shall be able to receive PDCCH to schedule PDSCH with the new target</w:t>
                      </w:r>
                      <w:r w:rsidR="0041293A">
                        <w:t xml:space="preserve"> TCI state</w:t>
                      </w:r>
                      <w:r w:rsidR="0078780B">
                        <w:t>s</w:t>
                      </w:r>
                      <w:r w:rsidR="0041293A">
                        <w:t xml:space="preserve"> at the first slot that is after </w:t>
                      </w:r>
                      <w:r w:rsidR="006F69BA" w:rsidRPr="007277E3">
                        <w:rPr>
                          <w:szCs w:val="20"/>
                          <w:lang w:eastAsia="zh-CN"/>
                        </w:rPr>
                        <w:t>n+</w:t>
                      </w:r>
                      <w:r w:rsidR="006F69BA" w:rsidRPr="007277E3">
                        <w:rPr>
                          <w:rFonts w:eastAsia="Malgun Gothic"/>
                          <w:szCs w:val="20"/>
                          <w:lang w:eastAsia="zh-CN"/>
                        </w:rPr>
                        <w:t xml:space="preserve"> T</w:t>
                      </w:r>
                      <w:r w:rsidR="006F69BA" w:rsidRPr="007277E3">
                        <w:rPr>
                          <w:rFonts w:eastAsia="Malgun Gothic"/>
                          <w:szCs w:val="20"/>
                          <w:vertAlign w:val="subscript"/>
                          <w:lang w:eastAsia="zh-CN"/>
                        </w:rPr>
                        <w:t>HARQ</w:t>
                      </w:r>
                      <w:r w:rsidR="006F69BA" w:rsidRPr="007277E3">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006F69BA" w:rsidRPr="007277E3">
                        <w:rPr>
                          <w:rFonts w:eastAsia="Malgun Gothic"/>
                          <w:szCs w:val="20"/>
                          <w:lang w:eastAsia="zh-CN"/>
                        </w:rPr>
                        <w:t xml:space="preserve"> +</w:t>
                      </w:r>
                      <w:r w:rsidR="00000E49" w:rsidRPr="00000E49">
                        <w:t xml:space="preserve"> </w:t>
                      </w:r>
                      <w:r w:rsidR="006F69BA" w:rsidRPr="007277E3">
                        <w:rPr>
                          <w:rFonts w:eastAsia="Malgun Gothic"/>
                          <w:szCs w:val="20"/>
                          <w:lang w:eastAsia="zh-CN"/>
                        </w:rPr>
                        <w:t>(</w:t>
                      </w:r>
                      <w:r w:rsidR="001614EE">
                        <w:rPr>
                          <w:rFonts w:eastAsia="Malgun Gothic"/>
                          <w:szCs w:val="20"/>
                          <w:lang w:eastAsia="zh-CN"/>
                        </w:rPr>
                        <w:t>max (</w:t>
                      </w:r>
                      <w:r w:rsidR="006F69BA" w:rsidRPr="007277E3">
                        <w:rPr>
                          <w:rFonts w:eastAsia="Malgun Gothic"/>
                          <w:szCs w:val="20"/>
                          <w:lang w:eastAsia="zh-CN"/>
                        </w:rPr>
                        <w:t>T</w:t>
                      </w:r>
                      <w:r w:rsidR="006F69BA" w:rsidRPr="007277E3">
                        <w:rPr>
                          <w:rFonts w:eastAsia="Malgun Gothic"/>
                          <w:szCs w:val="20"/>
                          <w:vertAlign w:val="subscript"/>
                          <w:lang w:eastAsia="zh-CN"/>
                        </w:rPr>
                        <w:t>first-SSB</w:t>
                      </w:r>
                      <w:r w:rsidR="001614EE">
                        <w:rPr>
                          <w:rFonts w:eastAsia="Malgun Gothic"/>
                          <w:szCs w:val="20"/>
                          <w:vertAlign w:val="subscript"/>
                          <w:lang w:eastAsia="zh-CN"/>
                        </w:rPr>
                        <w:t>1</w:t>
                      </w:r>
                      <w:r w:rsidR="003E226D" w:rsidRPr="003E226D">
                        <w:rPr>
                          <w:rFonts w:eastAsia="Malgun Gothic"/>
                          <w:szCs w:val="20"/>
                          <w:lang w:eastAsia="zh-CN"/>
                        </w:rPr>
                        <w:t>,</w:t>
                      </w:r>
                      <w:r w:rsidR="001614EE" w:rsidRPr="001614EE">
                        <w:rPr>
                          <w:rFonts w:eastAsia="Malgun Gothic"/>
                          <w:szCs w:val="20"/>
                          <w:lang w:eastAsia="zh-CN"/>
                        </w:rPr>
                        <w:t xml:space="preserve"> </w:t>
                      </w:r>
                      <w:r w:rsidR="001614EE" w:rsidRPr="007277E3">
                        <w:rPr>
                          <w:rFonts w:eastAsia="Malgun Gothic"/>
                          <w:szCs w:val="20"/>
                          <w:lang w:eastAsia="zh-CN"/>
                        </w:rPr>
                        <w:t>T</w:t>
                      </w:r>
                      <w:r w:rsidR="001614EE" w:rsidRPr="007277E3">
                        <w:rPr>
                          <w:rFonts w:eastAsia="Malgun Gothic"/>
                          <w:szCs w:val="20"/>
                          <w:vertAlign w:val="subscript"/>
                          <w:lang w:eastAsia="zh-CN"/>
                        </w:rPr>
                        <w:t>first-SSB</w:t>
                      </w:r>
                      <w:r w:rsidR="003E226D">
                        <w:rPr>
                          <w:rFonts w:eastAsia="Malgun Gothic"/>
                          <w:szCs w:val="20"/>
                          <w:vertAlign w:val="subscript"/>
                          <w:lang w:eastAsia="zh-CN"/>
                        </w:rPr>
                        <w:t>2</w:t>
                      </w:r>
                      <w:r w:rsidR="003E226D">
                        <w:rPr>
                          <w:rFonts w:eastAsia="Malgun Gothic"/>
                          <w:szCs w:val="20"/>
                          <w:lang w:eastAsia="zh-CN"/>
                        </w:rPr>
                        <w:t>)</w:t>
                      </w:r>
                      <w:r w:rsidR="006F69BA" w:rsidRPr="007277E3">
                        <w:rPr>
                          <w:rFonts w:eastAsia="Malgun Gothic"/>
                          <w:szCs w:val="20"/>
                          <w:lang w:eastAsia="zh-CN"/>
                        </w:rPr>
                        <w:t>+T</w:t>
                      </w:r>
                      <w:r w:rsidR="006F69BA" w:rsidRPr="007277E3">
                        <w:rPr>
                          <w:rFonts w:eastAsia="Malgun Gothic"/>
                          <w:szCs w:val="20"/>
                          <w:vertAlign w:val="subscript"/>
                          <w:lang w:eastAsia="zh-CN"/>
                        </w:rPr>
                        <w:t>SSB-proc</w:t>
                      </w:r>
                      <w:r w:rsidR="006F69BA" w:rsidRPr="007277E3">
                        <w:rPr>
                          <w:rFonts w:eastAsia="Malgun Gothic"/>
                          <w:szCs w:val="20"/>
                          <w:lang w:eastAsia="zh-CN"/>
                        </w:rPr>
                        <w:t>)/</w:t>
                      </w:r>
                      <w:r w:rsidR="006F69BA" w:rsidRPr="007277E3">
                        <w:rPr>
                          <w:i/>
                          <w:szCs w:val="20"/>
                          <w:lang w:eastAsia="zh-CN"/>
                        </w:rPr>
                        <w:t>NR slot length</w:t>
                      </w:r>
                      <w:r w:rsidR="006F69BA" w:rsidDel="006F69BA">
                        <w:t xml:space="preserve"> </w:t>
                      </w:r>
                      <w:r w:rsidR="00993F60" w:rsidRPr="008E6FBA">
                        <w:rPr>
                          <w:color w:val="4472C4" w:themeColor="accent1"/>
                          <w:u w:val="single"/>
                          <w:lang w:eastAsia="zh-CN"/>
                        </w:rPr>
                        <w:t>-</w:t>
                      </w:r>
                      <w:r w:rsidR="00E17F38" w:rsidRPr="00CA6C75">
                        <w:rPr>
                          <w:rFonts w:eastAsia="Times New Roman" w:cs="Times New Roman"/>
                          <w:szCs w:val="20"/>
                          <w:lang w:val="en-GB"/>
                        </w:rPr>
                        <w:t>wh</w:t>
                      </w:r>
                      <w:r w:rsidR="00CA14C6" w:rsidRPr="00CA6C75">
                        <w:rPr>
                          <w:rFonts w:eastAsia="Times New Roman" w:cs="Times New Roman"/>
                          <w:szCs w:val="20"/>
                          <w:lang w:val="en-GB"/>
                        </w:rPr>
                        <w:t>e</w:t>
                      </w:r>
                      <w:r w:rsidR="00E17F38" w:rsidRPr="00CA6C75">
                        <w:rPr>
                          <w:rFonts w:eastAsia="Times New Roman" w:cs="Times New Roman"/>
                          <w:szCs w:val="20"/>
                          <w:lang w:val="en-GB"/>
                        </w:rPr>
                        <w:t>re</w:t>
                      </w:r>
                    </w:p>
                    <w:p w14:paraId="2EFBCEDD" w14:textId="676BEE2D" w:rsidR="00993F60" w:rsidRPr="008E6FBA" w:rsidRDefault="00993F60" w:rsidP="00DF6DF4">
                      <w:pPr>
                        <w:ind w:left="720"/>
                        <w:rPr>
                          <w:color w:val="4472C4" w:themeColor="accent1"/>
                          <w:u w:val="single"/>
                          <w:lang w:eastAsia="zh-CN"/>
                        </w:rPr>
                      </w:pPr>
                      <w:r w:rsidRPr="00CA6C75">
                        <w:rPr>
                          <w:rFonts w:eastAsia="Times New Roman" w:cs="Times New Roman"/>
                          <w:szCs w:val="20"/>
                          <w:lang w:val="en-GB"/>
                        </w:rPr>
                        <w:t>T</w:t>
                      </w:r>
                      <w:r w:rsidRPr="00CA6C75">
                        <w:rPr>
                          <w:rFonts w:eastAsia="Times New Roman" w:cs="Times New Roman"/>
                          <w:szCs w:val="20"/>
                          <w:vertAlign w:val="subscript"/>
                          <w:lang w:val="en-GB"/>
                        </w:rPr>
                        <w:t>first-SSB</w:t>
                      </w:r>
                      <w:r w:rsidR="006B7511">
                        <w:rPr>
                          <w:rFonts w:eastAsia="Times New Roman" w:cs="Times New Roman"/>
                          <w:szCs w:val="20"/>
                          <w:vertAlign w:val="subscript"/>
                          <w:lang w:val="en-GB"/>
                        </w:rPr>
                        <w:t>1</w:t>
                      </w:r>
                      <w:r w:rsidRPr="00CA6C75">
                        <w:rPr>
                          <w:rFonts w:eastAsia="Times New Roman" w:cs="Times New Roman"/>
                          <w:szCs w:val="20"/>
                          <w:lang w:val="en-GB"/>
                        </w:rPr>
                        <w:t xml:space="preserve"> </w:t>
                      </w:r>
                      <w:r w:rsidR="006B7511">
                        <w:rPr>
                          <w:rFonts w:eastAsia="Times New Roman" w:cs="Times New Roman"/>
                          <w:szCs w:val="20"/>
                          <w:lang w:val="en-GB"/>
                        </w:rPr>
                        <w:t xml:space="preserve">and </w:t>
                      </w:r>
                      <w:r w:rsidR="006B7511" w:rsidRPr="007277E3">
                        <w:rPr>
                          <w:rFonts w:eastAsia="Malgun Gothic"/>
                          <w:szCs w:val="20"/>
                          <w:lang w:eastAsia="zh-CN"/>
                        </w:rPr>
                        <w:t>T</w:t>
                      </w:r>
                      <w:r w:rsidR="006B7511" w:rsidRPr="007277E3">
                        <w:rPr>
                          <w:rFonts w:eastAsia="Malgun Gothic"/>
                          <w:szCs w:val="20"/>
                          <w:vertAlign w:val="subscript"/>
                          <w:lang w:eastAsia="zh-CN"/>
                        </w:rPr>
                        <w:t>first-</w:t>
                      </w:r>
                      <w:r w:rsidR="006B7511" w:rsidRPr="00FF3860">
                        <w:rPr>
                          <w:rFonts w:eastAsia="Malgun Gothic"/>
                          <w:szCs w:val="20"/>
                          <w:vertAlign w:val="subscript"/>
                          <w:lang w:eastAsia="zh-CN"/>
                        </w:rPr>
                        <w:t>SSB2</w:t>
                      </w:r>
                      <w:r>
                        <w:rPr>
                          <w:rFonts w:eastAsia="Malgun Gothic"/>
                          <w:szCs w:val="20"/>
                          <w:lang w:eastAsia="zh-CN"/>
                        </w:rPr>
                        <w:t xml:space="preserve"> </w:t>
                      </w:r>
                      <w:r w:rsidRPr="00CA6C75">
                        <w:rPr>
                          <w:rFonts w:eastAsia="Times New Roman" w:cs="Times New Roman"/>
                          <w:szCs w:val="20"/>
                          <w:lang w:val="en-GB"/>
                        </w:rPr>
                        <w:t xml:space="preserve">is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time to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first SSB transmission </w:t>
                      </w:r>
                      <w:r w:rsidR="003151A2" w:rsidRPr="00CA6C75">
                        <w:rPr>
                          <w:rFonts w:eastAsia="Times New Roman" w:cs="Times New Roman"/>
                          <w:szCs w:val="20"/>
                          <w:lang w:val="en-GB"/>
                        </w:rPr>
                        <w:t>for each of t</w:t>
                      </w:r>
                      <w:r w:rsidR="00CB5CA9" w:rsidRPr="00CA6C75">
                        <w:rPr>
                          <w:rFonts w:eastAsia="Times New Roman" w:cs="Times New Roman"/>
                          <w:szCs w:val="20"/>
                          <w:lang w:val="en-GB"/>
                        </w:rPr>
                        <w:t>he</w:t>
                      </w:r>
                      <w:r w:rsidR="00BA1507" w:rsidRPr="00CA6C75">
                        <w:rPr>
                          <w:rFonts w:eastAsia="Times New Roman" w:cs="Times New Roman"/>
                          <w:szCs w:val="20"/>
                          <w:lang w:val="en-GB"/>
                        </w:rPr>
                        <w:t xml:space="preserve"> </w:t>
                      </w:r>
                      <w:r w:rsidR="00FF3860">
                        <w:rPr>
                          <w:rFonts w:eastAsia="Times New Roman" w:cs="Times New Roman"/>
                          <w:szCs w:val="20"/>
                          <w:lang w:val="en-GB"/>
                        </w:rPr>
                        <w:t xml:space="preserve">two </w:t>
                      </w:r>
                      <w:r w:rsidR="00F50810" w:rsidRPr="00CA6C75">
                        <w:rPr>
                          <w:rFonts w:eastAsia="Times New Roman" w:cs="Times New Roman"/>
                          <w:szCs w:val="20"/>
                          <w:lang w:val="en-GB"/>
                        </w:rPr>
                        <w:t xml:space="preserve">target </w:t>
                      </w:r>
                      <w:r w:rsidR="00BA1507" w:rsidRPr="00CA6C75">
                        <w:rPr>
                          <w:rFonts w:eastAsia="Times New Roman" w:cs="Times New Roman"/>
                          <w:szCs w:val="20"/>
                          <w:lang w:val="en-GB"/>
                        </w:rPr>
                        <w:t>TCI</w:t>
                      </w:r>
                      <w:r w:rsidR="00515E17" w:rsidRPr="00CA6C75">
                        <w:rPr>
                          <w:rFonts w:eastAsia="Times New Roman" w:cs="Times New Roman"/>
                          <w:szCs w:val="20"/>
                          <w:lang w:val="en-GB"/>
                        </w:rPr>
                        <w:t xml:space="preserve"> st</w:t>
                      </w:r>
                      <w:r w:rsidR="005F0A62" w:rsidRPr="00CA6C75">
                        <w:rPr>
                          <w:rFonts w:eastAsia="Times New Roman" w:cs="Times New Roman"/>
                          <w:szCs w:val="20"/>
                          <w:lang w:val="en-GB"/>
                        </w:rPr>
                        <w:t>ate</w:t>
                      </w:r>
                      <w:r w:rsidR="00FF3860">
                        <w:rPr>
                          <w:rFonts w:eastAsia="Times New Roman" w:cs="Times New Roman"/>
                          <w:szCs w:val="20"/>
                          <w:lang w:val="en-GB"/>
                        </w:rPr>
                        <w:t>s</w:t>
                      </w:r>
                      <w:r w:rsidR="005F0A62" w:rsidRPr="00CA6C75">
                        <w:rPr>
                          <w:rFonts w:eastAsia="Times New Roman" w:cs="Times New Roman"/>
                          <w:szCs w:val="20"/>
                          <w:lang w:val="en-GB"/>
                        </w:rPr>
                        <w:t xml:space="preserve"> </w:t>
                      </w:r>
                      <w:r w:rsidRPr="00CA6C75">
                        <w:rPr>
                          <w:rFonts w:eastAsia="Times New Roman" w:cs="Times New Roman"/>
                          <w:szCs w:val="20"/>
                          <w:lang w:val="en-GB"/>
                        </w:rPr>
                        <w:t>after MAC CE command is decoded by the UE; The SSB shall be the QCL-</w:t>
                      </w:r>
                      <w:proofErr w:type="spellStart"/>
                      <w:r w:rsidRPr="00CA6C75">
                        <w:rPr>
                          <w:rFonts w:eastAsia="Times New Roman" w:cs="Times New Roman"/>
                          <w:szCs w:val="20"/>
                          <w:lang w:val="en-GB"/>
                        </w:rPr>
                        <w:t>TypeA</w:t>
                      </w:r>
                      <w:proofErr w:type="spellEnd"/>
                      <w:r w:rsidRPr="00CA6C75">
                        <w:rPr>
                          <w:rFonts w:eastAsia="Times New Roman" w:cs="Times New Roman"/>
                          <w:szCs w:val="20"/>
                          <w:lang w:val="en-GB"/>
                        </w:rPr>
                        <w:t xml:space="preserve"> or QCL-</w:t>
                      </w:r>
                      <w:proofErr w:type="spellStart"/>
                      <w:r w:rsidRPr="00CA6C75">
                        <w:rPr>
                          <w:rFonts w:eastAsia="Times New Roman" w:cs="Times New Roman"/>
                          <w:szCs w:val="20"/>
                          <w:lang w:val="en-GB"/>
                        </w:rPr>
                        <w:t>TypeC</w:t>
                      </w:r>
                      <w:proofErr w:type="spellEnd"/>
                      <w:r w:rsidRPr="00CA6C75">
                        <w:rPr>
                          <w:rFonts w:eastAsia="Times New Roman" w:cs="Times New Roman"/>
                          <w:szCs w:val="20"/>
                          <w:lang w:val="en-GB"/>
                        </w:rPr>
                        <w:t xml:space="preserve"> to </w:t>
                      </w:r>
                      <w:r w:rsidR="008E6FBA" w:rsidRPr="00CA6C75">
                        <w:rPr>
                          <w:rFonts w:eastAsia="Times New Roman" w:cs="Times New Roman"/>
                          <w:szCs w:val="20"/>
                          <w:lang w:val="en-GB"/>
                        </w:rPr>
                        <w:t xml:space="preserve">the </w:t>
                      </w:r>
                      <w:r w:rsidRPr="00CA6C75">
                        <w:rPr>
                          <w:rFonts w:eastAsia="Times New Roman" w:cs="Times New Roman"/>
                          <w:szCs w:val="20"/>
                          <w:lang w:val="en-GB"/>
                        </w:rPr>
                        <w:t>target TCI state</w:t>
                      </w:r>
                      <w:r w:rsidR="003D606D">
                        <w:rPr>
                          <w:rFonts w:eastAsia="Times New Roman" w:cs="Times New Roman"/>
                          <w:szCs w:val="20"/>
                          <w:lang w:val="en-GB"/>
                        </w:rPr>
                        <w:t xml:space="preserve">. </w:t>
                      </w:r>
                      <w:r w:rsidR="003D606D" w:rsidRPr="00F32EBC">
                        <w:rPr>
                          <w:rFonts w:eastAsia="Times New Roman" w:cs="Times New Roman"/>
                          <w:szCs w:val="20"/>
                          <w:lang w:val="en-GB"/>
                        </w:rPr>
                        <w:t xml:space="preserve">If </w:t>
                      </w:r>
                      <w:r w:rsidR="00D110F6">
                        <w:rPr>
                          <w:rFonts w:eastAsia="Times New Roman" w:cs="Times New Roman"/>
                          <w:szCs w:val="20"/>
                          <w:lang w:val="en-GB"/>
                        </w:rPr>
                        <w:t>a</w:t>
                      </w:r>
                      <w:r w:rsidR="003D606D" w:rsidRPr="00F32EBC">
                        <w:rPr>
                          <w:rFonts w:eastAsia="Times New Roman" w:cs="Times New Roman"/>
                          <w:szCs w:val="20"/>
                          <w:lang w:val="en-GB"/>
                        </w:rPr>
                        <w:t xml:space="preserve"> target TCI state </w:t>
                      </w:r>
                      <w:r w:rsidR="00E32810">
                        <w:rPr>
                          <w:rFonts w:eastAsia="Times New Roman" w:cs="Times New Roman"/>
                          <w:szCs w:val="20"/>
                          <w:lang w:val="en-GB"/>
                        </w:rPr>
                        <w:t>is already</w:t>
                      </w:r>
                      <w:r w:rsidR="003D606D" w:rsidRPr="00F32EBC">
                        <w:rPr>
                          <w:rFonts w:eastAsia="Times New Roman" w:cs="Times New Roman"/>
                          <w:szCs w:val="20"/>
                          <w:lang w:val="en-GB"/>
                        </w:rPr>
                        <w:t xml:space="preserve"> in the active TCI state list</w:t>
                      </w:r>
                      <w:r w:rsidR="00E32810">
                        <w:rPr>
                          <w:rFonts w:eastAsia="Times New Roman" w:cs="Times New Roman"/>
                          <w:szCs w:val="20"/>
                          <w:lang w:val="en-GB"/>
                        </w:rPr>
                        <w:t xml:space="preserve"> for PDSCH</w:t>
                      </w:r>
                      <w:r w:rsidR="003D606D" w:rsidRPr="00F32EBC">
                        <w:rPr>
                          <w:rFonts w:eastAsia="Times New Roman" w:cs="Times New Roman"/>
                          <w:szCs w:val="20"/>
                          <w:lang w:val="en-GB"/>
                        </w:rPr>
                        <w:t xml:space="preserve">, then </w:t>
                      </w:r>
                      <w:proofErr w:type="spellStart"/>
                      <w:r w:rsidR="003D606D" w:rsidRPr="00F32EBC">
                        <w:rPr>
                          <w:rFonts w:eastAsia="Times New Roman" w:cs="Times New Roman"/>
                          <w:szCs w:val="20"/>
                          <w:lang w:val="en-GB"/>
                        </w:rPr>
                        <w:t>T</w:t>
                      </w:r>
                      <w:r w:rsidR="003D606D" w:rsidRPr="00F449FC">
                        <w:rPr>
                          <w:rFonts w:eastAsia="Times New Roman" w:cs="Times New Roman"/>
                          <w:szCs w:val="20"/>
                          <w:vertAlign w:val="subscript"/>
                          <w:lang w:val="en-GB"/>
                        </w:rPr>
                        <w:t>firstSSB</w:t>
                      </w:r>
                      <w:proofErr w:type="spellEnd"/>
                      <w:r w:rsidR="003D606D" w:rsidRPr="00F32EBC">
                        <w:rPr>
                          <w:rFonts w:eastAsia="Times New Roman" w:cs="Times New Roman"/>
                          <w:szCs w:val="20"/>
                          <w:lang w:val="en-GB"/>
                        </w:rPr>
                        <w:t xml:space="preserve"> for th</w:t>
                      </w:r>
                      <w:r w:rsidR="003D606D">
                        <w:rPr>
                          <w:rFonts w:eastAsia="Times New Roman" w:cs="Times New Roman"/>
                          <w:szCs w:val="20"/>
                          <w:lang w:val="en-GB"/>
                        </w:rPr>
                        <w:t>at</w:t>
                      </w:r>
                      <w:r w:rsidR="003D606D" w:rsidRPr="00F32EBC">
                        <w:rPr>
                          <w:rFonts w:eastAsia="Times New Roman" w:cs="Times New Roman"/>
                          <w:szCs w:val="20"/>
                          <w:lang w:val="en-GB"/>
                        </w:rPr>
                        <w:t xml:space="preserve"> TCI state </w:t>
                      </w:r>
                      <w:r w:rsidR="00E32810">
                        <w:rPr>
                          <w:rFonts w:eastAsia="Times New Roman" w:cs="Times New Roman"/>
                          <w:szCs w:val="20"/>
                          <w:lang w:val="en-GB"/>
                        </w:rPr>
                        <w:t>is</w:t>
                      </w:r>
                      <w:r w:rsidR="003D606D" w:rsidRPr="00F32EBC">
                        <w:rPr>
                          <w:rFonts w:eastAsia="Times New Roman" w:cs="Times New Roman"/>
                          <w:szCs w:val="20"/>
                          <w:lang w:val="en-GB"/>
                        </w:rPr>
                        <w:t xml:space="preserve"> 0</w:t>
                      </w:r>
                      <w:r w:rsidR="00E32810">
                        <w:rPr>
                          <w:rFonts w:eastAsia="Times New Roman" w:cs="Times New Roman"/>
                          <w:szCs w:val="20"/>
                          <w:lang w:val="en-GB"/>
                        </w:rPr>
                        <w:t>.</w:t>
                      </w:r>
                    </w:p>
                    <w:p w14:paraId="0D3BC656" w14:textId="6DD71011" w:rsidR="00993F60" w:rsidRDefault="00993F60" w:rsidP="00DF6DF4">
                      <w:pPr>
                        <w:pStyle w:val="B1"/>
                        <w:ind w:left="720" w:firstLine="0"/>
                        <w:rPr>
                          <w:lang w:eastAsia="zh-CN"/>
                        </w:rPr>
                      </w:pPr>
                      <w:r>
                        <w:rPr>
                          <w:lang w:eastAsia="zh-CN"/>
                        </w:rPr>
                        <w:t>T</w:t>
                      </w:r>
                      <w:r>
                        <w:rPr>
                          <w:vertAlign w:val="subscript"/>
                          <w:lang w:eastAsia="zh-CN"/>
                        </w:rPr>
                        <w:t xml:space="preserve">SSB-proc </w:t>
                      </w:r>
                      <w:r>
                        <w:rPr>
                          <w:lang w:eastAsia="zh-CN"/>
                        </w:rPr>
                        <w:t xml:space="preserve">= </w:t>
                      </w:r>
                      <w:r w:rsidR="00D1071F">
                        <w:t>0, if both target TCI states are in the active TCI state list for PDSCH</w:t>
                      </w:r>
                      <w:r w:rsidR="00D1071F">
                        <w:rPr>
                          <w:lang w:eastAsia="zh-CN"/>
                        </w:rPr>
                        <w:t xml:space="preserve">. Otherwise </w:t>
                      </w:r>
                      <w:r>
                        <w:rPr>
                          <w:lang w:eastAsia="zh-CN"/>
                        </w:rPr>
                        <w:t>T</w:t>
                      </w:r>
                      <w:r w:rsidRPr="00595A76">
                        <w:rPr>
                          <w:vertAlign w:val="subscript"/>
                          <w:lang w:eastAsia="zh-CN"/>
                        </w:rPr>
                        <w:t>SSB-proc</w:t>
                      </w:r>
                      <w:r>
                        <w:rPr>
                          <w:lang w:eastAsia="zh-CN"/>
                        </w:rPr>
                        <w:t xml:space="preserve"> = 2 </w:t>
                      </w:r>
                      <w:proofErr w:type="gramStart"/>
                      <w:r>
                        <w:rPr>
                          <w:lang w:eastAsia="zh-CN"/>
                        </w:rPr>
                        <w:t>ms;</w:t>
                      </w:r>
                      <w:proofErr w:type="gramEnd"/>
                      <w:r>
                        <w:rPr>
                          <w:lang w:eastAsia="zh-CN"/>
                        </w:rPr>
                        <w:t xml:space="preserve"> </w:t>
                      </w:r>
                    </w:p>
                    <w:p w14:paraId="037CEA9B" w14:textId="2AA67633" w:rsidR="002E2959" w:rsidRDefault="002E2959">
                      <w:r>
                        <w:t xml:space="preserve"> </w:t>
                      </w:r>
                    </w:p>
                    <w:p w14:paraId="4F114630" w14:textId="21CDF074" w:rsidR="00E81B36" w:rsidRDefault="00E81B36"/>
                    <w:p w14:paraId="748E67C8" w14:textId="2D53BA46" w:rsidR="00E81B36" w:rsidRDefault="00E81B36"/>
                    <w:p w14:paraId="001DDBB6" w14:textId="77777777" w:rsidR="00E81B36" w:rsidRDefault="00E81B36"/>
                  </w:txbxContent>
                </v:textbox>
              </v:shape>
            </w:pict>
          </mc:Fallback>
        </mc:AlternateContent>
      </w:r>
      <w:r w:rsidR="004A52BC">
        <w:t>An example of how to capture this in TS 38.133 is shown below:</w:t>
      </w:r>
    </w:p>
    <w:p w14:paraId="08B94573" w14:textId="77777777" w:rsidR="0077383F" w:rsidRDefault="0077383F" w:rsidP="004A52BC"/>
    <w:p w14:paraId="0C72FF8C" w14:textId="77777777" w:rsidR="0077383F" w:rsidRDefault="0077383F" w:rsidP="004A52BC"/>
    <w:p w14:paraId="5D740D6A" w14:textId="77777777" w:rsidR="00046AEA" w:rsidRDefault="00046AEA" w:rsidP="004A52BC"/>
    <w:p w14:paraId="3310F09E" w14:textId="77777777" w:rsidR="00046AEA" w:rsidRDefault="00046AEA" w:rsidP="004A52BC"/>
    <w:p w14:paraId="654EB2C7" w14:textId="77777777" w:rsidR="009E75BC" w:rsidRDefault="009E75BC" w:rsidP="004A52BC"/>
    <w:p w14:paraId="41FAA044" w14:textId="77777777" w:rsidR="009E75BC" w:rsidRDefault="009E75BC" w:rsidP="004A52BC"/>
    <w:p w14:paraId="1143466F" w14:textId="77777777" w:rsidR="009E75BC" w:rsidRDefault="009E75BC" w:rsidP="004A52BC"/>
    <w:p w14:paraId="42A958DE" w14:textId="77777777" w:rsidR="009E75BC" w:rsidRDefault="009E75BC" w:rsidP="004A52BC"/>
    <w:p w14:paraId="3B938C80" w14:textId="10AC22F9" w:rsidR="004A52BC" w:rsidRPr="00510E68" w:rsidRDefault="004A52BC" w:rsidP="004A52BC">
      <w:pPr>
        <w:pStyle w:val="RAN4H2"/>
      </w:pPr>
      <w:r w:rsidRPr="00510E68">
        <w:lastRenderedPageBreak/>
        <w:t>Multi</w:t>
      </w:r>
      <w:r w:rsidR="008E6FBA">
        <w:t>-</w:t>
      </w:r>
      <w:r w:rsidRPr="00510E68">
        <w:t>DCI</w:t>
      </w:r>
    </w:p>
    <w:p w14:paraId="2681DA00" w14:textId="71554F70" w:rsidR="004A52BC" w:rsidRDefault="004A52BC" w:rsidP="004A52BC">
      <w:r>
        <w:t>For multi</w:t>
      </w:r>
      <w:r w:rsidR="008E6FBA">
        <w:t>-</w:t>
      </w:r>
      <w:r>
        <w:t>DCI scenario, separate active TCI state lists are maintained for each TRP. Therefore, TCI state list contains only single TCI states and dual TCI states do not need to be considered. Hence, active TCI state update to dual TCI states does not apply to multi</w:t>
      </w:r>
      <w:r w:rsidR="008E6FBA">
        <w:t>-</w:t>
      </w:r>
      <w:r>
        <w:t>DCI scenario.</w:t>
      </w:r>
    </w:p>
    <w:p w14:paraId="5E95011F" w14:textId="36424493" w:rsidR="004A52BC" w:rsidRDefault="5842E8A6" w:rsidP="004A52BC">
      <w:pPr>
        <w:pStyle w:val="RAN4proposal"/>
        <w:numPr>
          <w:ilvl w:val="0"/>
          <w:numId w:val="8"/>
        </w:numPr>
      </w:pPr>
      <w:bookmarkStart w:id="34" w:name="_Toc133324115"/>
      <w:bookmarkStart w:id="35" w:name="_Toc135068276"/>
      <w:r>
        <w:t>For multi</w:t>
      </w:r>
      <w:r w:rsidR="008E6FBA">
        <w:t>-</w:t>
      </w:r>
      <w:r>
        <w:t>DCI scenario, active TCI state list update to dual TCI states is not considered.</w:t>
      </w:r>
      <w:bookmarkEnd w:id="34"/>
      <w:bookmarkEnd w:id="35"/>
    </w:p>
    <w:p w14:paraId="1558FB46" w14:textId="77777777" w:rsidR="004A52BC" w:rsidRDefault="004A52BC" w:rsidP="004A52BC">
      <w:pPr>
        <w:pStyle w:val="RAN4H1"/>
      </w:pPr>
      <w:r>
        <w:t xml:space="preserve">Known TCI </w:t>
      </w:r>
      <w:r w:rsidRPr="00D114CE">
        <w:t>state</w:t>
      </w:r>
      <w:r>
        <w:t xml:space="preserve"> condition</w:t>
      </w:r>
    </w:p>
    <w:p w14:paraId="11AC6D52" w14:textId="77777777" w:rsidR="004A52BC" w:rsidRPr="00E57074" w:rsidRDefault="004A52BC" w:rsidP="004A52BC">
      <w:pPr>
        <w:pStyle w:val="RAN4H2"/>
      </w:pPr>
      <w:r w:rsidRPr="00E57074">
        <w:t>Requirements to consider</w:t>
      </w:r>
    </w:p>
    <w:tbl>
      <w:tblPr>
        <w:tblStyle w:val="TableGrid"/>
        <w:tblW w:w="0" w:type="auto"/>
        <w:tblLook w:val="04A0" w:firstRow="1" w:lastRow="0" w:firstColumn="1" w:lastColumn="0" w:noHBand="0" w:noVBand="1"/>
      </w:tblPr>
      <w:tblGrid>
        <w:gridCol w:w="9617"/>
      </w:tblGrid>
      <w:tr w:rsidR="004A52BC" w14:paraId="078FE70B" w14:textId="77777777" w:rsidTr="00E81B36">
        <w:tc>
          <w:tcPr>
            <w:tcW w:w="9617" w:type="dxa"/>
          </w:tcPr>
          <w:p w14:paraId="1EEAA1CE" w14:textId="77777777" w:rsidR="004A52BC" w:rsidRDefault="004A52BC" w:rsidP="00E81B36">
            <w:pPr>
              <w:rPr>
                <w:b/>
                <w:lang w:eastAsia="ko-KR"/>
              </w:rPr>
            </w:pPr>
            <w:r>
              <w:rPr>
                <w:b/>
                <w:lang w:eastAsia="ko-KR"/>
              </w:rPr>
              <w:t xml:space="preserve">Issue 2-5-1: Requirements to be consider </w:t>
            </w:r>
          </w:p>
          <w:p w14:paraId="2A4E2C76" w14:textId="77777777" w:rsidR="004A52BC" w:rsidRDefault="004A52BC" w:rsidP="00E81B36">
            <w:pPr>
              <w:rPr>
                <w:bCs/>
                <w:i/>
                <w:iCs/>
                <w:lang w:eastAsia="ko-KR"/>
              </w:rPr>
            </w:pPr>
            <w:r>
              <w:rPr>
                <w:bCs/>
                <w:i/>
                <w:iCs/>
                <w:lang w:eastAsia="ko-KR"/>
              </w:rPr>
              <w:t>Agreements:</w:t>
            </w:r>
          </w:p>
          <w:p w14:paraId="140C6F6E" w14:textId="77777777" w:rsidR="004A52BC" w:rsidRDefault="004A52BC" w:rsidP="004A52BC">
            <w:pPr>
              <w:pStyle w:val="ListParagraph"/>
              <w:numPr>
                <w:ilvl w:val="0"/>
                <w:numId w:val="43"/>
              </w:numPr>
              <w:overflowPunct w:val="0"/>
              <w:autoSpaceDE w:val="0"/>
              <w:autoSpaceDN w:val="0"/>
              <w:adjustRightInd w:val="0"/>
              <w:spacing w:after="180"/>
              <w:contextualSpacing w:val="0"/>
              <w:jc w:val="left"/>
              <w:rPr>
                <w:rFonts w:eastAsia="SimSun"/>
                <w:i/>
                <w:iCs/>
                <w:szCs w:val="24"/>
                <w:lang w:eastAsia="zh-CN"/>
              </w:rPr>
            </w:pPr>
            <w:r>
              <w:rPr>
                <w:rFonts w:eastAsia="SimSun"/>
                <w:i/>
                <w:iCs/>
                <w:szCs w:val="24"/>
                <w:lang w:eastAsia="zh-CN"/>
              </w:rPr>
              <w:t xml:space="preserve">Requirements for DCI based dual TCI states switch delay for PDSCH reception are defined for known case only. </w:t>
            </w:r>
          </w:p>
          <w:p w14:paraId="3C1B8A28" w14:textId="77777777" w:rsidR="004A52BC" w:rsidRPr="00E57074" w:rsidRDefault="004A52BC" w:rsidP="004A52BC">
            <w:pPr>
              <w:pStyle w:val="ListParagraph"/>
              <w:numPr>
                <w:ilvl w:val="0"/>
                <w:numId w:val="43"/>
              </w:numPr>
              <w:overflowPunct w:val="0"/>
              <w:autoSpaceDE w:val="0"/>
              <w:autoSpaceDN w:val="0"/>
              <w:adjustRightInd w:val="0"/>
              <w:spacing w:after="180"/>
              <w:contextualSpacing w:val="0"/>
              <w:jc w:val="left"/>
              <w:rPr>
                <w:rFonts w:eastAsia="SimSun"/>
                <w:i/>
                <w:iCs/>
                <w:szCs w:val="24"/>
                <w:lang w:eastAsia="zh-CN"/>
              </w:rPr>
            </w:pPr>
            <w:r>
              <w:rPr>
                <w:rFonts w:eastAsia="SimSun"/>
                <w:i/>
                <w:iCs/>
                <w:szCs w:val="24"/>
                <w:lang w:eastAsia="zh-CN"/>
              </w:rPr>
              <w:t>Requirements for MAC CE based dual TCI states switch delay for PDCCH reception are defined for known case. FFS if it is to be limited to known case only.</w:t>
            </w:r>
          </w:p>
        </w:tc>
      </w:tr>
    </w:tbl>
    <w:p w14:paraId="369F418D" w14:textId="77777777" w:rsidR="004A52BC" w:rsidRDefault="004A52BC" w:rsidP="004A52BC">
      <w:pPr>
        <w:rPr>
          <w:rFonts w:eastAsia="Malgun Gothic" w:cs="v4.2.0"/>
          <w:lang w:eastAsia="zh-CN"/>
        </w:rPr>
      </w:pPr>
    </w:p>
    <w:p w14:paraId="16A28CAD" w14:textId="559FE341" w:rsidR="004A52BC" w:rsidRDefault="004A52BC" w:rsidP="004A52BC">
      <w:pPr>
        <w:rPr>
          <w:rFonts w:eastAsia="Malgun Gothic" w:cs="v4.2.0"/>
          <w:lang w:eastAsia="zh-CN"/>
        </w:rPr>
      </w:pPr>
      <w:r>
        <w:rPr>
          <w:rFonts w:eastAsia="Malgun Gothic" w:cs="v4.2.0"/>
          <w:lang w:eastAsia="zh-CN"/>
        </w:rPr>
        <w:t xml:space="preserve">In RAN4#106bis meeting WF it was left FFS whether to define requirements for MAC-CE based TCI state switch </w:t>
      </w:r>
      <w:r w:rsidR="00240186">
        <w:rPr>
          <w:rFonts w:eastAsia="Malgun Gothic" w:cs="v4.2.0"/>
          <w:lang w:eastAsia="zh-CN"/>
        </w:rPr>
        <w:t xml:space="preserve">for </w:t>
      </w:r>
      <w:r w:rsidR="002F778A">
        <w:rPr>
          <w:rFonts w:eastAsia="Malgun Gothic" w:cs="v4.2.0"/>
          <w:lang w:eastAsia="zh-CN"/>
        </w:rPr>
        <w:t>unknown</w:t>
      </w:r>
      <w:r w:rsidR="00240186">
        <w:rPr>
          <w:rFonts w:eastAsia="Malgun Gothic" w:cs="v4.2.0"/>
          <w:lang w:eastAsia="zh-CN"/>
        </w:rPr>
        <w:t xml:space="preserve"> case.</w:t>
      </w:r>
    </w:p>
    <w:p w14:paraId="259472AA" w14:textId="744F53EC" w:rsidR="00A016FA" w:rsidRDefault="00A016FA" w:rsidP="004A52BC">
      <w:pPr>
        <w:rPr>
          <w:rFonts w:eastAsia="Malgun Gothic" w:cs="v4.2.0"/>
          <w:lang w:eastAsia="zh-CN"/>
        </w:rPr>
      </w:pPr>
      <w:r>
        <w:rPr>
          <w:rFonts w:eastAsia="Malgun Gothic" w:cs="v4.2.0"/>
          <w:lang w:eastAsia="zh-CN"/>
        </w:rPr>
        <w:t xml:space="preserve">Legacy requirements for </w:t>
      </w:r>
      <w:r w:rsidR="00D87C41">
        <w:rPr>
          <w:rFonts w:eastAsia="Malgun Gothic" w:cs="v4.2.0"/>
          <w:lang w:eastAsia="zh-CN"/>
        </w:rPr>
        <w:t xml:space="preserve">MAC-CE based TCI </w:t>
      </w:r>
      <w:r w:rsidR="002103B7">
        <w:rPr>
          <w:rFonts w:eastAsia="Malgun Gothic" w:cs="v4.2.0"/>
          <w:lang w:eastAsia="zh-CN"/>
        </w:rPr>
        <w:t xml:space="preserve">state switch have been defined for both known as well as unknown </w:t>
      </w:r>
      <w:r w:rsidR="00CA7E06">
        <w:rPr>
          <w:rFonts w:eastAsia="Malgun Gothic" w:cs="v4.2.0"/>
          <w:lang w:eastAsia="zh-CN"/>
        </w:rPr>
        <w:t>target TCI states where</w:t>
      </w:r>
      <w:r w:rsidR="00B02F38">
        <w:rPr>
          <w:rFonts w:eastAsia="Malgun Gothic" w:cs="v4.2.0"/>
          <w:lang w:eastAsia="zh-CN"/>
        </w:rPr>
        <w:t>as</w:t>
      </w:r>
      <w:r w:rsidR="00CA7E06">
        <w:rPr>
          <w:rFonts w:eastAsia="Malgun Gothic" w:cs="v4.2.0"/>
          <w:lang w:eastAsia="zh-CN"/>
        </w:rPr>
        <w:t xml:space="preserve"> </w:t>
      </w:r>
      <w:r w:rsidR="00B02F38">
        <w:rPr>
          <w:rFonts w:eastAsia="Malgun Gothic" w:cs="v4.2.0"/>
          <w:lang w:eastAsia="zh-CN"/>
        </w:rPr>
        <w:t>D</w:t>
      </w:r>
      <w:r w:rsidR="00CA7E06">
        <w:rPr>
          <w:rFonts w:eastAsia="Malgun Gothic" w:cs="v4.2.0"/>
          <w:lang w:eastAsia="zh-CN"/>
        </w:rPr>
        <w:t xml:space="preserve">CI based TCI state switch </w:t>
      </w:r>
      <w:r w:rsidR="001E422D">
        <w:rPr>
          <w:rFonts w:eastAsia="Malgun Gothic" w:cs="v4.2.0"/>
          <w:lang w:eastAsia="zh-CN"/>
        </w:rPr>
        <w:t xml:space="preserve">delay requirements have been defined </w:t>
      </w:r>
      <w:r w:rsidR="002F778A">
        <w:rPr>
          <w:rFonts w:eastAsia="Malgun Gothic" w:cs="v4.2.0"/>
          <w:lang w:eastAsia="zh-CN"/>
        </w:rPr>
        <w:t xml:space="preserve">for </w:t>
      </w:r>
      <w:r w:rsidR="00B02F38">
        <w:rPr>
          <w:rFonts w:eastAsia="Malgun Gothic" w:cs="v4.2.0"/>
          <w:lang w:eastAsia="zh-CN"/>
        </w:rPr>
        <w:t>only k</w:t>
      </w:r>
      <w:r w:rsidR="001E422D">
        <w:rPr>
          <w:rFonts w:eastAsia="Malgun Gothic" w:cs="v4.2.0"/>
          <w:lang w:eastAsia="zh-CN"/>
        </w:rPr>
        <w:t xml:space="preserve">nown target TCI states. </w:t>
      </w:r>
    </w:p>
    <w:p w14:paraId="646EEBE9" w14:textId="77777777" w:rsidR="001644FB" w:rsidRDefault="001E422D" w:rsidP="004A52BC">
      <w:pPr>
        <w:rPr>
          <w:rStyle w:val="normaltextrun"/>
          <w:color w:val="000000"/>
          <w:szCs w:val="20"/>
          <w:bdr w:val="none" w:sz="0" w:space="0" w:color="auto" w:frame="1"/>
        </w:rPr>
      </w:pPr>
      <w:r>
        <w:rPr>
          <w:rFonts w:eastAsia="Malgun Gothic" w:cs="v4.2.0"/>
          <w:lang w:eastAsia="zh-CN"/>
        </w:rPr>
        <w:t xml:space="preserve">In case of DCI </w:t>
      </w:r>
      <w:r w:rsidR="004E7ABB">
        <w:rPr>
          <w:rFonts w:eastAsia="Malgun Gothic" w:cs="v4.2.0"/>
          <w:lang w:eastAsia="zh-CN"/>
        </w:rPr>
        <w:t>based TCI state switch</w:t>
      </w:r>
      <w:r w:rsidR="007753A2">
        <w:rPr>
          <w:rFonts w:eastAsia="Malgun Gothic" w:cs="v4.2.0"/>
          <w:lang w:eastAsia="zh-CN"/>
        </w:rPr>
        <w:t>,</w:t>
      </w:r>
      <w:r w:rsidR="004E7ABB">
        <w:rPr>
          <w:rFonts w:eastAsia="Malgun Gothic" w:cs="v4.2.0"/>
          <w:lang w:eastAsia="zh-CN"/>
        </w:rPr>
        <w:t xml:space="preserve"> having delay requirements only for known target TCI state is reasonable </w:t>
      </w:r>
      <w:r w:rsidR="00DC3346">
        <w:rPr>
          <w:rFonts w:eastAsia="Malgun Gothic" w:cs="v4.2.0"/>
          <w:lang w:eastAsia="zh-CN"/>
        </w:rPr>
        <w:t xml:space="preserve">as </w:t>
      </w:r>
      <w:r w:rsidR="00DC3346">
        <w:rPr>
          <w:rStyle w:val="normaltextrun"/>
          <w:color w:val="000000"/>
          <w:szCs w:val="20"/>
          <w:bdr w:val="none" w:sz="0" w:space="0" w:color="auto" w:frame="1"/>
        </w:rPr>
        <w:t>DCI based TCI state switch is for PDSCH (data scheduling) and hence it does not help much if the delay is longer than the period when the data is scheduled</w:t>
      </w:r>
      <w:r w:rsidR="001644FB">
        <w:rPr>
          <w:rStyle w:val="normaltextrun"/>
          <w:color w:val="000000"/>
          <w:szCs w:val="20"/>
          <w:bdr w:val="none" w:sz="0" w:space="0" w:color="auto" w:frame="1"/>
        </w:rPr>
        <w:t>.</w:t>
      </w:r>
    </w:p>
    <w:p w14:paraId="4F6E5454" w14:textId="4D3895C4" w:rsidR="001E422D" w:rsidRPr="00E57074" w:rsidRDefault="001644FB" w:rsidP="004A52BC">
      <w:pPr>
        <w:rPr>
          <w:rFonts w:eastAsia="Malgun Gothic" w:cs="v4.2.0"/>
          <w:lang w:eastAsia="zh-CN"/>
        </w:rPr>
      </w:pPr>
      <w:r>
        <w:rPr>
          <w:rStyle w:val="normaltextrun"/>
          <w:color w:val="000000"/>
          <w:szCs w:val="20"/>
          <w:bdr w:val="none" w:sz="0" w:space="0" w:color="auto" w:frame="1"/>
        </w:rPr>
        <w:t>However, no such restriction for MAC-CE based TCI state switch which is for PDCCH reception applies</w:t>
      </w:r>
      <w:r w:rsidR="00C22D5B">
        <w:rPr>
          <w:rStyle w:val="normaltextrun"/>
          <w:color w:val="000000"/>
          <w:szCs w:val="20"/>
          <w:bdr w:val="none" w:sz="0" w:space="0" w:color="auto" w:frame="1"/>
        </w:rPr>
        <w:t>. Hence</w:t>
      </w:r>
      <w:r w:rsidR="00B25573">
        <w:rPr>
          <w:rStyle w:val="normaltextrun"/>
          <w:color w:val="000000"/>
          <w:szCs w:val="20"/>
          <w:bdr w:val="none" w:sz="0" w:space="0" w:color="auto" w:frame="1"/>
        </w:rPr>
        <w:t>,</w:t>
      </w:r>
      <w:r w:rsidR="00C22D5B">
        <w:rPr>
          <w:rStyle w:val="normaltextrun"/>
          <w:color w:val="000000"/>
          <w:szCs w:val="20"/>
          <w:bdr w:val="none" w:sz="0" w:space="0" w:color="auto" w:frame="1"/>
        </w:rPr>
        <w:t xml:space="preserve"> we see no reason to limit defining </w:t>
      </w:r>
      <w:r w:rsidR="00657006">
        <w:rPr>
          <w:rStyle w:val="normaltextrun"/>
          <w:color w:val="000000"/>
          <w:szCs w:val="20"/>
          <w:bdr w:val="none" w:sz="0" w:space="0" w:color="auto" w:frame="1"/>
        </w:rPr>
        <w:t xml:space="preserve">MAC CE based </w:t>
      </w:r>
      <w:r w:rsidR="00C22D5B">
        <w:rPr>
          <w:rStyle w:val="normaltextrun"/>
          <w:color w:val="000000"/>
          <w:szCs w:val="20"/>
          <w:bdr w:val="none" w:sz="0" w:space="0" w:color="auto" w:frame="1"/>
        </w:rPr>
        <w:t xml:space="preserve">TCI state switch </w:t>
      </w:r>
      <w:r w:rsidR="00657006">
        <w:rPr>
          <w:rStyle w:val="normaltextrun"/>
          <w:color w:val="000000"/>
          <w:szCs w:val="20"/>
          <w:bdr w:val="none" w:sz="0" w:space="0" w:color="auto" w:frame="1"/>
        </w:rPr>
        <w:t xml:space="preserve">delay </w:t>
      </w:r>
      <w:r w:rsidR="00C22D5B">
        <w:rPr>
          <w:rStyle w:val="normaltextrun"/>
          <w:color w:val="000000"/>
          <w:szCs w:val="20"/>
          <w:bdr w:val="none" w:sz="0" w:space="0" w:color="auto" w:frame="1"/>
        </w:rPr>
        <w:t>requirements</w:t>
      </w:r>
      <w:r w:rsidR="00657006">
        <w:rPr>
          <w:rStyle w:val="normaltextrun"/>
          <w:color w:val="000000"/>
          <w:szCs w:val="20"/>
          <w:bdr w:val="none" w:sz="0" w:space="0" w:color="auto" w:frame="1"/>
        </w:rPr>
        <w:t xml:space="preserve"> only for known cases in case of m-TRP.</w:t>
      </w:r>
      <w:r w:rsidR="00C22D5B">
        <w:rPr>
          <w:rStyle w:val="normaltextrun"/>
          <w:color w:val="000000"/>
          <w:szCs w:val="20"/>
          <w:bdr w:val="none" w:sz="0" w:space="0" w:color="auto" w:frame="1"/>
        </w:rPr>
        <w:t xml:space="preserve"> </w:t>
      </w:r>
    </w:p>
    <w:p w14:paraId="6FE2E20E" w14:textId="2B8F0FDD" w:rsidR="004A52BC" w:rsidRDefault="00DE61B6" w:rsidP="004A52BC">
      <w:pPr>
        <w:pStyle w:val="RAN4proposal"/>
        <w:numPr>
          <w:ilvl w:val="0"/>
          <w:numId w:val="8"/>
        </w:numPr>
        <w:rPr>
          <w:lang w:eastAsia="zh-CN"/>
        </w:rPr>
      </w:pPr>
      <w:bookmarkStart w:id="36" w:name="_Toc133324103"/>
      <w:bookmarkStart w:id="37" w:name="_Toc135068277"/>
      <w:r>
        <w:rPr>
          <w:lang w:eastAsia="zh-CN"/>
        </w:rPr>
        <w:t>For</w:t>
      </w:r>
      <w:r w:rsidR="5842E8A6" w:rsidRPr="78702F4F">
        <w:rPr>
          <w:lang w:eastAsia="zh-CN"/>
        </w:rPr>
        <w:t xml:space="preserve"> MAC-CE based TCI state switch delay, define requirements also for unknown target TCI state.</w:t>
      </w:r>
      <w:bookmarkEnd w:id="36"/>
      <w:bookmarkEnd w:id="37"/>
    </w:p>
    <w:p w14:paraId="20C3E39F" w14:textId="77777777" w:rsidR="004A52BC" w:rsidRDefault="004A52BC" w:rsidP="004A52BC">
      <w:pPr>
        <w:pStyle w:val="RAN4H2"/>
        <w:rPr>
          <w:lang w:eastAsia="zh-CN"/>
        </w:rPr>
      </w:pPr>
      <w:r w:rsidRPr="00C4788B">
        <w:rPr>
          <w:lang w:eastAsia="zh-CN"/>
        </w:rPr>
        <w:t>Definition of known TCI state</w:t>
      </w:r>
    </w:p>
    <w:tbl>
      <w:tblPr>
        <w:tblStyle w:val="TableGrid"/>
        <w:tblW w:w="0" w:type="auto"/>
        <w:tblLook w:val="04A0" w:firstRow="1" w:lastRow="0" w:firstColumn="1" w:lastColumn="0" w:noHBand="0" w:noVBand="1"/>
      </w:tblPr>
      <w:tblGrid>
        <w:gridCol w:w="9617"/>
      </w:tblGrid>
      <w:tr w:rsidR="004A52BC" w14:paraId="7D38B073" w14:textId="77777777" w:rsidTr="00E81B36">
        <w:tc>
          <w:tcPr>
            <w:tcW w:w="9617" w:type="dxa"/>
          </w:tcPr>
          <w:p w14:paraId="16000BE1" w14:textId="77777777" w:rsidR="004A52BC" w:rsidRDefault="004A52BC" w:rsidP="00E81B36">
            <w:pPr>
              <w:rPr>
                <w:b/>
                <w:lang w:eastAsia="ko-KR"/>
              </w:rPr>
            </w:pPr>
            <w:r>
              <w:rPr>
                <w:b/>
                <w:lang w:eastAsia="ko-KR"/>
              </w:rPr>
              <w:t>Issue 2-5-2: Definition of known condition:</w:t>
            </w:r>
          </w:p>
          <w:p w14:paraId="1AD4644C" w14:textId="77777777" w:rsidR="004A52BC" w:rsidRDefault="004A52BC" w:rsidP="00E81B36">
            <w:pPr>
              <w:spacing w:after="120"/>
              <w:rPr>
                <w:i/>
                <w:iCs/>
                <w:szCs w:val="24"/>
                <w:lang w:eastAsia="zh-CN"/>
              </w:rPr>
            </w:pPr>
            <w:r>
              <w:rPr>
                <w:i/>
                <w:iCs/>
                <w:szCs w:val="24"/>
                <w:lang w:eastAsia="zh-CN"/>
              </w:rPr>
              <w:t xml:space="preserve">Way forward: </w:t>
            </w:r>
          </w:p>
          <w:p w14:paraId="61187BDE" w14:textId="77777777" w:rsidR="004A52BC" w:rsidRDefault="004A52BC" w:rsidP="00E81B36">
            <w:pPr>
              <w:spacing w:after="120"/>
              <w:rPr>
                <w:i/>
                <w:iCs/>
                <w:szCs w:val="24"/>
                <w:lang w:eastAsia="zh-CN"/>
              </w:rPr>
            </w:pPr>
            <w:r>
              <w:rPr>
                <w:i/>
                <w:iCs/>
                <w:szCs w:val="24"/>
                <w:lang w:eastAsia="zh-CN"/>
              </w:rPr>
              <w:t xml:space="preserve">GBBR is agreed as prerequisite to enable simultaneous reception. Does that mean dual TCI states are configured based on beams reported in GBBR or can other RS which are </w:t>
            </w:r>
            <w:proofErr w:type="spellStart"/>
            <w:r>
              <w:rPr>
                <w:i/>
                <w:iCs/>
                <w:szCs w:val="24"/>
                <w:lang w:eastAsia="zh-CN"/>
              </w:rPr>
              <w:t>QCLed</w:t>
            </w:r>
            <w:proofErr w:type="spellEnd"/>
            <w:r>
              <w:rPr>
                <w:i/>
                <w:iCs/>
                <w:szCs w:val="24"/>
                <w:lang w:eastAsia="zh-CN"/>
              </w:rPr>
              <w:t xml:space="preserve"> to beams reported in GBBR can be configured. Please consider following to provide your further analysis.  </w:t>
            </w:r>
          </w:p>
          <w:p w14:paraId="0354DFB3" w14:textId="77777777" w:rsidR="004A52BC" w:rsidRDefault="004A52BC" w:rsidP="004A52BC">
            <w:pPr>
              <w:pStyle w:val="ListParagraph"/>
              <w:numPr>
                <w:ilvl w:val="0"/>
                <w:numId w:val="45"/>
              </w:numPr>
              <w:overflowPunct w:val="0"/>
              <w:autoSpaceDE w:val="0"/>
              <w:autoSpaceDN w:val="0"/>
              <w:adjustRightInd w:val="0"/>
              <w:spacing w:after="120"/>
              <w:contextualSpacing w:val="0"/>
              <w:jc w:val="left"/>
              <w:rPr>
                <w:i/>
                <w:iCs/>
                <w:szCs w:val="24"/>
                <w:lang w:eastAsia="zh-CN"/>
              </w:rPr>
            </w:pPr>
            <w:r>
              <w:rPr>
                <w:i/>
                <w:iCs/>
                <w:szCs w:val="24"/>
                <w:lang w:eastAsia="zh-CN"/>
              </w:rPr>
              <w:t xml:space="preserve">Option 1: </w:t>
            </w:r>
            <w:r>
              <w:rPr>
                <w:rFonts w:eastAsia="SimSun"/>
                <w:i/>
                <w:iCs/>
                <w:szCs w:val="24"/>
                <w:lang w:eastAsia="zh-CN"/>
              </w:rPr>
              <w:t>dual TCI states are only configured based on beams reported in GBBR</w:t>
            </w:r>
            <w:r>
              <w:rPr>
                <w:i/>
                <w:iCs/>
                <w:szCs w:val="24"/>
                <w:lang w:eastAsia="zh-CN"/>
              </w:rPr>
              <w:t>.</w:t>
            </w:r>
          </w:p>
          <w:p w14:paraId="6A1686A7" w14:textId="77777777" w:rsidR="004A52BC" w:rsidRDefault="004A52BC" w:rsidP="004A52BC">
            <w:pPr>
              <w:pStyle w:val="ListParagraph"/>
              <w:numPr>
                <w:ilvl w:val="0"/>
                <w:numId w:val="45"/>
              </w:numPr>
              <w:overflowPunct w:val="0"/>
              <w:autoSpaceDE w:val="0"/>
              <w:autoSpaceDN w:val="0"/>
              <w:adjustRightInd w:val="0"/>
              <w:spacing w:after="120"/>
              <w:contextualSpacing w:val="0"/>
              <w:jc w:val="left"/>
              <w:rPr>
                <w:b/>
                <w:bCs/>
                <w:i/>
                <w:iCs/>
                <w:u w:val="single"/>
                <w:lang w:eastAsia="zh-CN"/>
              </w:rPr>
            </w:pPr>
            <w:r>
              <w:rPr>
                <w:i/>
                <w:iCs/>
                <w:szCs w:val="24"/>
                <w:lang w:eastAsia="zh-CN"/>
              </w:rPr>
              <w:t xml:space="preserve">Option2: </w:t>
            </w:r>
            <w:r>
              <w:rPr>
                <w:rFonts w:eastAsia="SimSun"/>
                <w:i/>
                <w:iCs/>
                <w:szCs w:val="24"/>
                <w:lang w:eastAsia="zh-CN"/>
              </w:rPr>
              <w:t xml:space="preserve">dual TCI states which are </w:t>
            </w:r>
            <w:proofErr w:type="spellStart"/>
            <w:r>
              <w:rPr>
                <w:rFonts w:eastAsia="SimSun"/>
                <w:i/>
                <w:iCs/>
                <w:szCs w:val="24"/>
                <w:lang w:eastAsia="zh-CN"/>
              </w:rPr>
              <w:t>QCLed</w:t>
            </w:r>
            <w:proofErr w:type="spellEnd"/>
            <w:r>
              <w:rPr>
                <w:rFonts w:eastAsia="SimSun"/>
                <w:i/>
                <w:iCs/>
                <w:szCs w:val="24"/>
                <w:lang w:eastAsia="zh-CN"/>
              </w:rPr>
              <w:t xml:space="preserve"> to beam pair reported in </w:t>
            </w:r>
            <w:r>
              <w:rPr>
                <w:i/>
                <w:iCs/>
                <w:szCs w:val="24"/>
                <w:lang w:eastAsia="zh-CN"/>
              </w:rPr>
              <w:t xml:space="preserve">GBBR can be configured </w:t>
            </w:r>
          </w:p>
        </w:tc>
      </w:tr>
    </w:tbl>
    <w:p w14:paraId="02D61F52" w14:textId="77777777" w:rsidR="004A52BC" w:rsidRDefault="004A52BC" w:rsidP="004A52BC">
      <w:pPr>
        <w:rPr>
          <w:b/>
          <w:bCs/>
          <w:i/>
          <w:iCs/>
          <w:u w:val="single"/>
          <w:lang w:eastAsia="zh-CN"/>
        </w:rPr>
      </w:pPr>
    </w:p>
    <w:p w14:paraId="6B7C43DC" w14:textId="77777777" w:rsidR="004A52BC" w:rsidRDefault="004A52BC" w:rsidP="004A52BC">
      <w:pPr>
        <w:rPr>
          <w:lang w:eastAsia="zh-CN"/>
        </w:rPr>
      </w:pPr>
      <w:r>
        <w:t xml:space="preserve">As defined in 38.133, a </w:t>
      </w:r>
      <w:r w:rsidRPr="009C5807">
        <w:rPr>
          <w:lang w:eastAsia="zh-CN"/>
        </w:rPr>
        <w:t>TCI state is known if the following conditions are met:</w:t>
      </w:r>
    </w:p>
    <w:tbl>
      <w:tblPr>
        <w:tblStyle w:val="TableGrid"/>
        <w:tblW w:w="0" w:type="auto"/>
        <w:tblInd w:w="-5" w:type="dxa"/>
        <w:tblLook w:val="04A0" w:firstRow="1" w:lastRow="0" w:firstColumn="1" w:lastColumn="0" w:noHBand="0" w:noVBand="1"/>
      </w:tblPr>
      <w:tblGrid>
        <w:gridCol w:w="9055"/>
      </w:tblGrid>
      <w:tr w:rsidR="004A52BC" w14:paraId="11F07905" w14:textId="77777777" w:rsidTr="00E81B36">
        <w:tc>
          <w:tcPr>
            <w:tcW w:w="9055" w:type="dxa"/>
          </w:tcPr>
          <w:p w14:paraId="19443C2C" w14:textId="77777777" w:rsidR="004A52BC" w:rsidRPr="009C5807" w:rsidRDefault="004A52BC" w:rsidP="001B5DCB">
            <w:pPr>
              <w:pStyle w:val="B1"/>
              <w:ind w:left="284" w:firstLine="0"/>
            </w:pPr>
            <w:r w:rsidRPr="009C5807">
              <w:rPr>
                <w:lang w:eastAsia="zh-CN"/>
              </w:rPr>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69C52818" w14:textId="77777777" w:rsidR="004A52BC" w:rsidRPr="009C5807" w:rsidRDefault="004A52BC" w:rsidP="001B5DCB">
            <w:pPr>
              <w:pStyle w:val="B2"/>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4B9FFED4" w14:textId="77777777" w:rsidR="004A52BC" w:rsidRPr="009C5807" w:rsidRDefault="004A52BC" w:rsidP="001B5DCB">
            <w:pPr>
              <w:pStyle w:val="B2"/>
              <w:rPr>
                <w:lang w:eastAsia="zh-CN"/>
              </w:rPr>
            </w:pPr>
            <w:r w:rsidRPr="009C5807">
              <w:rPr>
                <w:lang w:eastAsia="zh-CN"/>
              </w:rPr>
              <w:lastRenderedPageBreak/>
              <w:t>-</w:t>
            </w:r>
            <w:r w:rsidRPr="009C5807">
              <w:rPr>
                <w:lang w:eastAsia="zh-CN"/>
              </w:rPr>
              <w:tab/>
              <w:t>The UE has sent at least 1 L1-RSRP report for the target TCI state before the TCI state switch command</w:t>
            </w:r>
          </w:p>
          <w:p w14:paraId="53FFEA40" w14:textId="77777777" w:rsidR="004A52BC" w:rsidRPr="009C5807" w:rsidRDefault="004A52BC" w:rsidP="001B5DCB">
            <w:pPr>
              <w:pStyle w:val="B2"/>
              <w:rPr>
                <w:lang w:eastAsia="zh-CN"/>
              </w:rPr>
            </w:pPr>
            <w:r w:rsidRPr="009C5807">
              <w:rPr>
                <w:lang w:eastAsia="zh-CN"/>
              </w:rPr>
              <w:t>-</w:t>
            </w:r>
            <w:r w:rsidRPr="009C5807">
              <w:rPr>
                <w:lang w:eastAsia="zh-CN"/>
              </w:rPr>
              <w:tab/>
              <w:t>The TCI state remains detectable during the TCI state switching period</w:t>
            </w:r>
          </w:p>
          <w:p w14:paraId="1BCA6DEC" w14:textId="77777777" w:rsidR="004A52BC" w:rsidRPr="009C5807" w:rsidRDefault="004A52BC" w:rsidP="001B5DCB">
            <w:pPr>
              <w:pStyle w:val="B2"/>
              <w:rPr>
                <w:lang w:eastAsia="zh-CN"/>
              </w:rPr>
            </w:pPr>
            <w:r w:rsidRPr="009C5807">
              <w:rPr>
                <w:lang w:eastAsia="zh-CN"/>
              </w:rPr>
              <w:t>-</w:t>
            </w:r>
            <w:r w:rsidRPr="009C5807">
              <w:rPr>
                <w:lang w:eastAsia="zh-CN"/>
              </w:rPr>
              <w:tab/>
              <w:t>The SSB associated with the TCI state remain detectable during the TCI switching period</w:t>
            </w:r>
          </w:p>
          <w:p w14:paraId="3FE7B3F3" w14:textId="77777777" w:rsidR="004A52BC" w:rsidRPr="009C5807" w:rsidRDefault="004A52BC" w:rsidP="00511D01">
            <w:pPr>
              <w:pStyle w:val="B3"/>
              <w:ind w:left="1854"/>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6EF5A7A" w14:textId="77777777" w:rsidR="004A52BC" w:rsidRDefault="004A52BC" w:rsidP="00511D01">
            <w:pPr>
              <w:ind w:firstLine="720"/>
              <w:jc w:val="left"/>
              <w:rPr>
                <w:rFonts w:eastAsia="Malgun Gothic"/>
                <w:lang w:eastAsia="zh-CN"/>
              </w:rPr>
            </w:pPr>
            <w:r w:rsidRPr="009C5807">
              <w:rPr>
                <w:rFonts w:eastAsia="Malgun Gothic"/>
                <w:lang w:eastAsia="zh-CN"/>
              </w:rPr>
              <w:t>Otherwise, the TCI state is unknown.</w:t>
            </w:r>
          </w:p>
          <w:p w14:paraId="176ED510" w14:textId="77777777" w:rsidR="004A52BC" w:rsidRDefault="004A52BC" w:rsidP="00E81B36">
            <w:pPr>
              <w:rPr>
                <w:rFonts w:eastAsia="Malgun Gothic" w:cs="v4.2.0"/>
                <w:lang w:eastAsia="zh-CN"/>
              </w:rPr>
            </w:pPr>
          </w:p>
        </w:tc>
      </w:tr>
    </w:tbl>
    <w:p w14:paraId="515F5CC1" w14:textId="77777777" w:rsidR="004A52BC" w:rsidRDefault="004A52BC" w:rsidP="004A52BC">
      <w:pPr>
        <w:rPr>
          <w:b/>
          <w:bCs/>
          <w:i/>
          <w:iCs/>
          <w:u w:val="single"/>
          <w:lang w:eastAsia="zh-CN"/>
        </w:rPr>
      </w:pPr>
    </w:p>
    <w:p w14:paraId="38519275" w14:textId="1978BF10" w:rsidR="00C050DB" w:rsidRPr="003D6099" w:rsidRDefault="00506796" w:rsidP="004A52BC">
      <w:pPr>
        <w:rPr>
          <w:b/>
          <w:bCs/>
          <w:lang w:eastAsia="zh-CN"/>
        </w:rPr>
      </w:pPr>
      <w:r w:rsidRPr="003D6099">
        <w:t xml:space="preserve">In addition to the known conditions defined for legacy TCI state </w:t>
      </w:r>
      <w:r w:rsidR="000806AC" w:rsidRPr="003D6099">
        <w:rPr>
          <w:lang w:eastAsia="zh-CN"/>
        </w:rPr>
        <w:t xml:space="preserve">it was agreed that </w:t>
      </w:r>
      <w:r w:rsidR="00100022">
        <w:rPr>
          <w:lang w:eastAsia="zh-CN"/>
        </w:rPr>
        <w:t xml:space="preserve">Rel-17 </w:t>
      </w:r>
      <w:r w:rsidR="00DE61B6">
        <w:rPr>
          <w:lang w:eastAsia="zh-CN"/>
        </w:rPr>
        <w:t>g</w:t>
      </w:r>
      <w:r w:rsidR="000806AC" w:rsidRPr="003D6099">
        <w:rPr>
          <w:lang w:eastAsia="zh-CN"/>
        </w:rPr>
        <w:t>roup</w:t>
      </w:r>
      <w:r w:rsidR="00C05342">
        <w:rPr>
          <w:lang w:eastAsia="zh-CN"/>
        </w:rPr>
        <w:t>-</w:t>
      </w:r>
      <w:r w:rsidR="000806AC" w:rsidRPr="003D6099">
        <w:rPr>
          <w:lang w:eastAsia="zh-CN"/>
        </w:rPr>
        <w:t xml:space="preserve">based beam reporting </w:t>
      </w:r>
      <w:r w:rsidR="007E41AA" w:rsidRPr="003D6099">
        <w:rPr>
          <w:lang w:eastAsia="zh-CN"/>
        </w:rPr>
        <w:t xml:space="preserve">will be a pre-requisite to enable simultaneous reception. </w:t>
      </w:r>
      <w:r w:rsidR="0019112D" w:rsidRPr="003D6099">
        <w:rPr>
          <w:lang w:eastAsia="zh-CN"/>
        </w:rPr>
        <w:t xml:space="preserve">We propose </w:t>
      </w:r>
      <w:r w:rsidR="00B178C5" w:rsidRPr="003D6099">
        <w:rPr>
          <w:lang w:eastAsia="zh-CN"/>
        </w:rPr>
        <w:t>that the</w:t>
      </w:r>
      <w:r w:rsidR="002443F9" w:rsidRPr="003D6099">
        <w:rPr>
          <w:lang w:eastAsia="zh-CN"/>
        </w:rPr>
        <w:t xml:space="preserve"> known condition for</w:t>
      </w:r>
      <w:r w:rsidR="00D17883" w:rsidRPr="003D6099">
        <w:rPr>
          <w:lang w:eastAsia="zh-CN"/>
        </w:rPr>
        <w:t xml:space="preserve"> simultaneous reception</w:t>
      </w:r>
      <w:r w:rsidR="002443F9" w:rsidRPr="003D6099">
        <w:rPr>
          <w:lang w:eastAsia="zh-CN"/>
        </w:rPr>
        <w:t xml:space="preserve"> is that the</w:t>
      </w:r>
      <w:r w:rsidR="006D45EA" w:rsidRPr="003D6099">
        <w:rPr>
          <w:lang w:eastAsia="zh-CN"/>
        </w:rPr>
        <w:t xml:space="preserve"> target</w:t>
      </w:r>
      <w:r w:rsidR="00B178C5" w:rsidRPr="003D6099">
        <w:rPr>
          <w:lang w:eastAsia="zh-CN"/>
        </w:rPr>
        <w:t xml:space="preserve"> dual TCI states are configured based on the </w:t>
      </w:r>
      <w:r w:rsidR="006D45EA" w:rsidRPr="003D6099">
        <w:rPr>
          <w:lang w:eastAsia="zh-CN"/>
        </w:rPr>
        <w:t>beams reported in the GBBR</w:t>
      </w:r>
      <w:r w:rsidR="00B9707B" w:rsidRPr="003D6099">
        <w:rPr>
          <w:lang w:eastAsia="zh-CN"/>
        </w:rPr>
        <w:t xml:space="preserve"> as this is</w:t>
      </w:r>
      <w:r w:rsidR="00DA31C3" w:rsidRPr="003D6099">
        <w:rPr>
          <w:lang w:eastAsia="zh-CN"/>
        </w:rPr>
        <w:t xml:space="preserve"> a</w:t>
      </w:r>
      <w:r w:rsidR="00B9707B" w:rsidRPr="003D6099">
        <w:rPr>
          <w:lang w:eastAsia="zh-CN"/>
        </w:rPr>
        <w:t xml:space="preserve"> simple and straightforward interpretation and implementation</w:t>
      </w:r>
      <w:r w:rsidR="00DA31C3" w:rsidRPr="003D6099">
        <w:rPr>
          <w:lang w:eastAsia="zh-CN"/>
        </w:rPr>
        <w:t xml:space="preserve"> of simultaneous reception based on group-based beam </w:t>
      </w:r>
      <w:r w:rsidR="00D951CD" w:rsidRPr="003D6099">
        <w:rPr>
          <w:lang w:eastAsia="zh-CN"/>
        </w:rPr>
        <w:t>reporting.</w:t>
      </w:r>
      <w:r w:rsidR="006D45EA" w:rsidRPr="003D6099">
        <w:rPr>
          <w:lang w:eastAsia="zh-CN"/>
        </w:rPr>
        <w:t xml:space="preserve"> </w:t>
      </w:r>
      <w:r w:rsidR="007350CF" w:rsidRPr="003D6099">
        <w:rPr>
          <w:lang w:eastAsia="zh-CN"/>
        </w:rPr>
        <w:t>In case the</w:t>
      </w:r>
      <w:r w:rsidR="00454570" w:rsidRPr="003D6099">
        <w:rPr>
          <w:lang w:eastAsia="zh-CN"/>
        </w:rPr>
        <w:t xml:space="preserve"> benefits</w:t>
      </w:r>
      <w:r w:rsidR="007350CF" w:rsidRPr="003D6099">
        <w:rPr>
          <w:lang w:eastAsia="zh-CN"/>
        </w:rPr>
        <w:t xml:space="preserve"> of </w:t>
      </w:r>
      <w:r w:rsidR="00E775E7" w:rsidRPr="003D6099">
        <w:rPr>
          <w:lang w:eastAsia="zh-CN"/>
        </w:rPr>
        <w:t>configuring</w:t>
      </w:r>
      <w:r w:rsidR="00454570" w:rsidRPr="003D6099">
        <w:rPr>
          <w:lang w:eastAsia="zh-CN"/>
        </w:rPr>
        <w:t xml:space="preserve"> </w:t>
      </w:r>
      <w:r w:rsidR="007350CF" w:rsidRPr="003D6099">
        <w:rPr>
          <w:rFonts w:eastAsia="SimSun"/>
          <w:szCs w:val="24"/>
          <w:lang w:eastAsia="zh-CN"/>
        </w:rPr>
        <w:t xml:space="preserve">dual </w:t>
      </w:r>
      <w:proofErr w:type="gramStart"/>
      <w:r w:rsidR="007350CF" w:rsidRPr="003D6099">
        <w:rPr>
          <w:rFonts w:eastAsia="SimSun"/>
          <w:szCs w:val="24"/>
          <w:lang w:eastAsia="zh-CN"/>
        </w:rPr>
        <w:t>TCI</w:t>
      </w:r>
      <w:proofErr w:type="gramEnd"/>
      <w:r w:rsidR="007350CF" w:rsidRPr="003D6099">
        <w:rPr>
          <w:rFonts w:eastAsia="SimSun"/>
          <w:szCs w:val="24"/>
          <w:lang w:eastAsia="zh-CN"/>
        </w:rPr>
        <w:t xml:space="preserve"> states which are </w:t>
      </w:r>
      <w:proofErr w:type="spellStart"/>
      <w:r w:rsidR="007350CF" w:rsidRPr="003D6099">
        <w:rPr>
          <w:rFonts w:eastAsia="SimSun"/>
          <w:szCs w:val="24"/>
          <w:lang w:eastAsia="zh-CN"/>
        </w:rPr>
        <w:t>QCLed</w:t>
      </w:r>
      <w:proofErr w:type="spellEnd"/>
      <w:r w:rsidR="007350CF" w:rsidRPr="003D6099">
        <w:rPr>
          <w:rFonts w:eastAsia="SimSun"/>
          <w:szCs w:val="24"/>
          <w:lang w:eastAsia="zh-CN"/>
        </w:rPr>
        <w:t xml:space="preserve"> to beam pair reported in </w:t>
      </w:r>
      <w:r w:rsidR="007350CF" w:rsidRPr="003D6099">
        <w:rPr>
          <w:szCs w:val="24"/>
          <w:lang w:eastAsia="zh-CN"/>
        </w:rPr>
        <w:t xml:space="preserve">GBBR </w:t>
      </w:r>
      <w:r w:rsidR="007350CF" w:rsidRPr="003D6099">
        <w:rPr>
          <w:lang w:eastAsia="zh-CN"/>
        </w:rPr>
        <w:t xml:space="preserve">(Option 2) are </w:t>
      </w:r>
      <w:r w:rsidR="00E775E7" w:rsidRPr="003D6099">
        <w:rPr>
          <w:lang w:eastAsia="zh-CN"/>
        </w:rPr>
        <w:t>elaborated</w:t>
      </w:r>
      <w:r w:rsidR="00C41A04" w:rsidRPr="003D6099">
        <w:rPr>
          <w:lang w:eastAsia="zh-CN"/>
        </w:rPr>
        <w:t xml:space="preserve"> and justified</w:t>
      </w:r>
      <w:r w:rsidR="00E775E7" w:rsidRPr="003D6099">
        <w:rPr>
          <w:lang w:eastAsia="zh-CN"/>
        </w:rPr>
        <w:t xml:space="preserve"> then we </w:t>
      </w:r>
      <w:r w:rsidR="00152507" w:rsidRPr="003D6099">
        <w:rPr>
          <w:lang w:eastAsia="zh-CN"/>
        </w:rPr>
        <w:t xml:space="preserve">are </w:t>
      </w:r>
      <w:r w:rsidR="00E775E7" w:rsidRPr="003D6099">
        <w:rPr>
          <w:lang w:eastAsia="zh-CN"/>
        </w:rPr>
        <w:t>open to discussing this option as well.</w:t>
      </w:r>
      <w:r w:rsidR="007350CF" w:rsidRPr="003D6099">
        <w:rPr>
          <w:i/>
          <w:iCs/>
          <w:szCs w:val="24"/>
          <w:lang w:eastAsia="zh-CN"/>
        </w:rPr>
        <w:t xml:space="preserve"> </w:t>
      </w:r>
    </w:p>
    <w:p w14:paraId="13394355" w14:textId="74B4A7ED" w:rsidR="005B4DBB" w:rsidRDefault="12FC08C4" w:rsidP="00D17883">
      <w:pPr>
        <w:pStyle w:val="RAN4proposal"/>
        <w:rPr>
          <w:lang w:val="en-GB"/>
        </w:rPr>
      </w:pPr>
      <w:bookmarkStart w:id="38" w:name="_Toc135068278"/>
      <w:r w:rsidRPr="78702F4F">
        <w:rPr>
          <w:lang w:val="en-GB"/>
        </w:rPr>
        <w:t xml:space="preserve">RAN4 to add the following in the </w:t>
      </w:r>
      <w:r w:rsidR="3EF36FD6" w:rsidRPr="78702F4F">
        <w:rPr>
          <w:lang w:val="en-GB"/>
        </w:rPr>
        <w:t xml:space="preserve">existing known conditions,” In case of simultaneous reception, dual TCI states are configured based on beams reported by the UE in </w:t>
      </w:r>
      <w:r w:rsidR="00E802EC">
        <w:rPr>
          <w:rStyle w:val="ui-provider"/>
        </w:rPr>
        <w:t>Rel-17 group-based L1-RSRP repor</w:t>
      </w:r>
      <w:r w:rsidR="00642DD5">
        <w:rPr>
          <w:rStyle w:val="ui-provider"/>
        </w:rPr>
        <w:t>t</w:t>
      </w:r>
      <w:r w:rsidR="3EF36FD6" w:rsidRPr="78702F4F">
        <w:rPr>
          <w:lang w:val="en-GB"/>
        </w:rPr>
        <w:t>”.</w:t>
      </w:r>
      <w:bookmarkEnd w:id="38"/>
    </w:p>
    <w:p w14:paraId="1E543D15" w14:textId="1A0DF7BB" w:rsidR="00204D7C" w:rsidRDefault="00204D7C">
      <w:pPr>
        <w:pStyle w:val="RAN4H1"/>
      </w:pPr>
      <w:bookmarkStart w:id="39" w:name="_Toc116995848"/>
      <w:r>
        <w:t xml:space="preserve">UE </w:t>
      </w:r>
      <w:r w:rsidR="00BF4FE7">
        <w:t xml:space="preserve">behaviour </w:t>
      </w:r>
      <w:r w:rsidR="00DE61B6">
        <w:t>when TCI states are not supported</w:t>
      </w:r>
    </w:p>
    <w:p w14:paraId="5F3771B3" w14:textId="5903F047" w:rsidR="00BF4FE7" w:rsidRDefault="00787BEB" w:rsidP="008549C6">
      <w:pPr>
        <w:rPr>
          <w:lang w:val="en-GB"/>
        </w:rPr>
      </w:pPr>
      <w:r>
        <w:rPr>
          <w:noProof/>
          <w:lang w:val="en-GB"/>
        </w:rPr>
        <mc:AlternateContent>
          <mc:Choice Requires="wps">
            <w:drawing>
              <wp:anchor distT="0" distB="0" distL="114300" distR="114300" simplePos="0" relativeHeight="251658241" behindDoc="0" locked="0" layoutInCell="1" allowOverlap="1" wp14:anchorId="5E1C28C6" wp14:editId="7CDEF839">
                <wp:simplePos x="0" y="0"/>
                <wp:positionH relativeFrom="column">
                  <wp:posOffset>184150</wp:posOffset>
                </wp:positionH>
                <wp:positionV relativeFrom="paragraph">
                  <wp:posOffset>238760</wp:posOffset>
                </wp:positionV>
                <wp:extent cx="6083300" cy="1212850"/>
                <wp:effectExtent l="0" t="0" r="12700" b="25400"/>
                <wp:wrapNone/>
                <wp:docPr id="5" name="Text Box 5"/>
                <wp:cNvGraphicFramePr/>
                <a:graphic xmlns:a="http://schemas.openxmlformats.org/drawingml/2006/main">
                  <a:graphicData uri="http://schemas.microsoft.com/office/word/2010/wordprocessingShape">
                    <wps:wsp>
                      <wps:cNvSpPr txBox="1"/>
                      <wps:spPr>
                        <a:xfrm>
                          <a:off x="0" y="0"/>
                          <a:ext cx="6083300" cy="1212850"/>
                        </a:xfrm>
                        <a:prstGeom prst="rect">
                          <a:avLst/>
                        </a:prstGeom>
                        <a:solidFill>
                          <a:schemeClr val="lt1"/>
                        </a:solidFill>
                        <a:ln w="6350">
                          <a:solidFill>
                            <a:prstClr val="black"/>
                          </a:solidFill>
                        </a:ln>
                      </wps:spPr>
                      <wps:txbx>
                        <w:txbxContent>
                          <w:p w14:paraId="15551E55" w14:textId="77777777" w:rsidR="00787BEB" w:rsidRDefault="00787BEB" w:rsidP="00787BEB">
                            <w:pPr>
                              <w:pStyle w:val="paragraph"/>
                              <w:spacing w:before="0" w:beforeAutospacing="0" w:after="0" w:afterAutospacing="0"/>
                              <w:textAlignment w:val="baseline"/>
                              <w:rPr>
                                <w:rStyle w:val="eop"/>
                                <w:sz w:val="20"/>
                                <w:szCs w:val="20"/>
                              </w:rPr>
                            </w:pPr>
                            <w:r w:rsidRPr="00771E15">
                              <w:rPr>
                                <w:rStyle w:val="normaltextrun"/>
                                <w:b/>
                                <w:bCs/>
                                <w:sz w:val="20"/>
                                <w:szCs w:val="20"/>
                                <w:u w:val="single"/>
                                <w:lang w:val="en-GB"/>
                              </w:rPr>
                              <w:t>Issue 2-1-4: UE behaviour when TCI states are not supported </w:t>
                            </w:r>
                            <w:r w:rsidRPr="00771E15">
                              <w:rPr>
                                <w:rStyle w:val="eop"/>
                                <w:sz w:val="20"/>
                                <w:szCs w:val="20"/>
                              </w:rPr>
                              <w:t> </w:t>
                            </w:r>
                          </w:p>
                          <w:p w14:paraId="48FDB8DD" w14:textId="77777777" w:rsidR="00771E15" w:rsidRPr="00771E15" w:rsidRDefault="00771E15" w:rsidP="00787BEB">
                            <w:pPr>
                              <w:pStyle w:val="paragraph"/>
                              <w:spacing w:before="0" w:beforeAutospacing="0" w:after="0" w:afterAutospacing="0"/>
                              <w:textAlignment w:val="baseline"/>
                              <w:rPr>
                                <w:sz w:val="22"/>
                                <w:szCs w:val="22"/>
                              </w:rPr>
                            </w:pPr>
                          </w:p>
                          <w:p w14:paraId="1FF1C159" w14:textId="77777777" w:rsidR="00787BEB" w:rsidRPr="00771E15" w:rsidRDefault="00787BEB" w:rsidP="00771E15">
                            <w:pPr>
                              <w:pStyle w:val="paragraph"/>
                              <w:numPr>
                                <w:ilvl w:val="0"/>
                                <w:numId w:val="47"/>
                              </w:numPr>
                              <w:spacing w:before="0" w:beforeAutospacing="0" w:after="0" w:afterAutospacing="0"/>
                              <w:textAlignment w:val="baseline"/>
                              <w:rPr>
                                <w:sz w:val="22"/>
                                <w:szCs w:val="22"/>
                              </w:rPr>
                            </w:pPr>
                            <w:r w:rsidRPr="00771E15">
                              <w:rPr>
                                <w:rStyle w:val="normaltextrun"/>
                                <w:sz w:val="20"/>
                                <w:szCs w:val="20"/>
                                <w:lang w:val="en-GB"/>
                              </w:rPr>
                              <w:t>Proposal 1: RAN4 to investigate the UE behaviour when it is not able to receive simultaneously on the dual TCI states.</w:t>
                            </w:r>
                            <w:r w:rsidRPr="00771E15">
                              <w:rPr>
                                <w:rStyle w:val="eop"/>
                                <w:sz w:val="20"/>
                                <w:szCs w:val="20"/>
                              </w:rPr>
                              <w:t> </w:t>
                            </w:r>
                          </w:p>
                          <w:p w14:paraId="18933486" w14:textId="77777777" w:rsidR="00787BEB" w:rsidRPr="00771E15" w:rsidRDefault="00787BEB" w:rsidP="00771E15">
                            <w:pPr>
                              <w:pStyle w:val="paragraph"/>
                              <w:numPr>
                                <w:ilvl w:val="0"/>
                                <w:numId w:val="47"/>
                              </w:numPr>
                              <w:spacing w:before="0" w:beforeAutospacing="0" w:after="0" w:afterAutospacing="0"/>
                              <w:textAlignment w:val="baseline"/>
                              <w:rPr>
                                <w:sz w:val="22"/>
                                <w:szCs w:val="22"/>
                              </w:rPr>
                            </w:pPr>
                            <w:r w:rsidRPr="00771E15">
                              <w:rPr>
                                <w:rStyle w:val="normaltextrun"/>
                                <w:sz w:val="20"/>
                                <w:szCs w:val="20"/>
                                <w:lang w:val="en-GB"/>
                              </w:rPr>
                              <w:t>Proposal 2: It is proposed to discuss and decide UE behaviour in case the UE does not support the two configured target TCI states simultaneously.</w:t>
                            </w:r>
                            <w:r w:rsidRPr="00771E15">
                              <w:rPr>
                                <w:rStyle w:val="eop"/>
                                <w:sz w:val="20"/>
                                <w:szCs w:val="20"/>
                              </w:rPr>
                              <w:t> </w:t>
                            </w:r>
                          </w:p>
                          <w:p w14:paraId="6252AD34" w14:textId="77777777" w:rsidR="00787BEB" w:rsidRPr="00771E15" w:rsidRDefault="00787BEB" w:rsidP="00787BEB">
                            <w:pPr>
                              <w:ind w:left="-1650"/>
                              <w:rPr>
                                <w:lang w:val="en-GB"/>
                              </w:rPr>
                            </w:pPr>
                          </w:p>
                          <w:p w14:paraId="4F122F55" w14:textId="77777777" w:rsidR="00787BEB" w:rsidRPr="00771E15" w:rsidRDefault="00787B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C28C6" id="Text Box 5" o:spid="_x0000_s1027" type="#_x0000_t202" style="position:absolute;left:0;text-align:left;margin-left:14.5pt;margin-top:18.8pt;width:479pt;height:9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" fillcolor="white [3201]" strokeweight=".5pt">
                <v:textbox>
                  <w:txbxContent>
                    <w:p w14:paraId="15551E55" w14:textId="77777777" w:rsidR="00787BEB" w:rsidRDefault="00787BEB" w:rsidP="00787BEB">
                      <w:pPr>
                        <w:pStyle w:val="paragraph"/>
                        <w:spacing w:before="0" w:beforeAutospacing="0" w:after="0" w:afterAutospacing="0"/>
                        <w:textAlignment w:val="baseline"/>
                        <w:rPr>
                          <w:rStyle w:val="eop"/>
                          <w:sz w:val="20"/>
                          <w:szCs w:val="20"/>
                        </w:rPr>
                      </w:pPr>
                      <w:r w:rsidRPr="00771E15">
                        <w:rPr>
                          <w:rStyle w:val="normaltextrun"/>
                          <w:b/>
                          <w:bCs/>
                          <w:sz w:val="20"/>
                          <w:szCs w:val="20"/>
                          <w:u w:val="single"/>
                          <w:lang w:val="en-GB"/>
                        </w:rPr>
                        <w:t>Issue 2-1-4: UE behaviour when TCI states are not supported </w:t>
                      </w:r>
                      <w:r w:rsidRPr="00771E15">
                        <w:rPr>
                          <w:rStyle w:val="eop"/>
                          <w:sz w:val="20"/>
                          <w:szCs w:val="20"/>
                        </w:rPr>
                        <w:t> </w:t>
                      </w:r>
                    </w:p>
                    <w:p w14:paraId="48FDB8DD" w14:textId="77777777" w:rsidR="00771E15" w:rsidRPr="00771E15" w:rsidRDefault="00771E15" w:rsidP="00787BEB">
                      <w:pPr>
                        <w:pStyle w:val="paragraph"/>
                        <w:spacing w:before="0" w:beforeAutospacing="0" w:after="0" w:afterAutospacing="0"/>
                        <w:textAlignment w:val="baseline"/>
                        <w:rPr>
                          <w:sz w:val="22"/>
                          <w:szCs w:val="22"/>
                        </w:rPr>
                      </w:pPr>
                    </w:p>
                    <w:p w14:paraId="1FF1C159" w14:textId="77777777" w:rsidR="00787BEB" w:rsidRPr="00771E15" w:rsidRDefault="00787BEB" w:rsidP="00771E15">
                      <w:pPr>
                        <w:pStyle w:val="paragraph"/>
                        <w:numPr>
                          <w:ilvl w:val="0"/>
                          <w:numId w:val="47"/>
                        </w:numPr>
                        <w:spacing w:before="0" w:beforeAutospacing="0" w:after="0" w:afterAutospacing="0"/>
                        <w:textAlignment w:val="baseline"/>
                        <w:rPr>
                          <w:sz w:val="22"/>
                          <w:szCs w:val="22"/>
                        </w:rPr>
                      </w:pPr>
                      <w:r w:rsidRPr="00771E15">
                        <w:rPr>
                          <w:rStyle w:val="normaltextrun"/>
                          <w:sz w:val="20"/>
                          <w:szCs w:val="20"/>
                          <w:lang w:val="en-GB"/>
                        </w:rPr>
                        <w:t>Proposal 1: RAN4 to investigate the UE behaviour when it is not able to receive simultaneously on the dual TCI states.</w:t>
                      </w:r>
                      <w:r w:rsidRPr="00771E15">
                        <w:rPr>
                          <w:rStyle w:val="eop"/>
                          <w:sz w:val="20"/>
                          <w:szCs w:val="20"/>
                        </w:rPr>
                        <w:t> </w:t>
                      </w:r>
                    </w:p>
                    <w:p w14:paraId="18933486" w14:textId="77777777" w:rsidR="00787BEB" w:rsidRPr="00771E15" w:rsidRDefault="00787BEB" w:rsidP="00771E15">
                      <w:pPr>
                        <w:pStyle w:val="paragraph"/>
                        <w:numPr>
                          <w:ilvl w:val="0"/>
                          <w:numId w:val="47"/>
                        </w:numPr>
                        <w:spacing w:before="0" w:beforeAutospacing="0" w:after="0" w:afterAutospacing="0"/>
                        <w:textAlignment w:val="baseline"/>
                        <w:rPr>
                          <w:sz w:val="22"/>
                          <w:szCs w:val="22"/>
                        </w:rPr>
                      </w:pPr>
                      <w:r w:rsidRPr="00771E15">
                        <w:rPr>
                          <w:rStyle w:val="normaltextrun"/>
                          <w:sz w:val="20"/>
                          <w:szCs w:val="20"/>
                          <w:lang w:val="en-GB"/>
                        </w:rPr>
                        <w:t>Proposal 2: It is proposed to discuss and decide UE behaviour in case the UE does not support the two configured target TCI states simultaneously.</w:t>
                      </w:r>
                      <w:r w:rsidRPr="00771E15">
                        <w:rPr>
                          <w:rStyle w:val="eop"/>
                          <w:sz w:val="20"/>
                          <w:szCs w:val="20"/>
                        </w:rPr>
                        <w:t> </w:t>
                      </w:r>
                    </w:p>
                    <w:p w14:paraId="6252AD34" w14:textId="77777777" w:rsidR="00787BEB" w:rsidRPr="00771E15" w:rsidRDefault="00787BEB" w:rsidP="00787BEB">
                      <w:pPr>
                        <w:ind w:left="-1650"/>
                        <w:rPr>
                          <w:lang w:val="en-GB"/>
                        </w:rPr>
                      </w:pPr>
                    </w:p>
                    <w:p w14:paraId="4F122F55" w14:textId="77777777" w:rsidR="00787BEB" w:rsidRPr="00771E15" w:rsidRDefault="00787BEB"/>
                  </w:txbxContent>
                </v:textbox>
              </v:shape>
            </w:pict>
          </mc:Fallback>
        </mc:AlternateContent>
      </w:r>
      <w:r w:rsidR="00FF0639">
        <w:rPr>
          <w:lang w:val="en-GB"/>
        </w:rPr>
        <w:t>In RAN#106e meeting companies put for</w:t>
      </w:r>
      <w:r w:rsidR="00A838DC">
        <w:rPr>
          <w:lang w:val="en-GB"/>
        </w:rPr>
        <w:t>ward</w:t>
      </w:r>
      <w:r w:rsidR="0064279A">
        <w:rPr>
          <w:lang w:val="en-GB"/>
        </w:rPr>
        <w:t xml:space="preserve"> the following two proposal</w:t>
      </w:r>
      <w:r w:rsidR="00A838DC">
        <w:rPr>
          <w:lang w:val="en-GB"/>
        </w:rPr>
        <w:t>s</w:t>
      </w:r>
      <w:r w:rsidR="0064279A">
        <w:rPr>
          <w:lang w:val="en-GB"/>
        </w:rPr>
        <w:t xml:space="preserve"> about UE</w:t>
      </w:r>
      <w:r w:rsidR="00E138F3">
        <w:rPr>
          <w:lang w:val="en-GB"/>
        </w:rPr>
        <w:t xml:space="preserve"> behavio</w:t>
      </w:r>
      <w:r w:rsidR="003F4127">
        <w:rPr>
          <w:lang w:val="en-GB"/>
        </w:rPr>
        <w:t>u</w:t>
      </w:r>
      <w:r w:rsidR="00E138F3">
        <w:rPr>
          <w:lang w:val="en-GB"/>
        </w:rPr>
        <w:t>r</w:t>
      </w:r>
      <w:r w:rsidR="00A838DC">
        <w:rPr>
          <w:lang w:val="en-GB"/>
        </w:rPr>
        <w:t>:</w:t>
      </w:r>
      <w:r w:rsidR="00E138F3">
        <w:rPr>
          <w:lang w:val="en-GB"/>
        </w:rPr>
        <w:t xml:space="preserve"> </w:t>
      </w:r>
    </w:p>
    <w:p w14:paraId="791A9094" w14:textId="77777777" w:rsidR="005338B9" w:rsidRDefault="005338B9" w:rsidP="00FF0639">
      <w:pPr>
        <w:ind w:left="360"/>
        <w:rPr>
          <w:lang w:val="en-GB"/>
        </w:rPr>
      </w:pPr>
    </w:p>
    <w:p w14:paraId="3DFCA87D" w14:textId="77777777" w:rsidR="00787BEB" w:rsidRDefault="00787BEB" w:rsidP="0064279A">
      <w:pPr>
        <w:pStyle w:val="paragraph"/>
        <w:spacing w:before="0" w:beforeAutospacing="0" w:after="0" w:afterAutospacing="0"/>
        <w:textAlignment w:val="baseline"/>
        <w:rPr>
          <w:rStyle w:val="normaltextrun"/>
          <w:b/>
          <w:bCs/>
          <w:color w:val="0070C0"/>
          <w:sz w:val="20"/>
          <w:szCs w:val="20"/>
          <w:u w:val="single"/>
          <w:lang w:val="en-GB"/>
        </w:rPr>
      </w:pPr>
    </w:p>
    <w:p w14:paraId="310432B3" w14:textId="77777777" w:rsidR="00787BEB" w:rsidRDefault="00787BEB" w:rsidP="0064279A">
      <w:pPr>
        <w:pStyle w:val="paragraph"/>
        <w:spacing w:before="0" w:beforeAutospacing="0" w:after="0" w:afterAutospacing="0"/>
        <w:textAlignment w:val="baseline"/>
        <w:rPr>
          <w:rStyle w:val="normaltextrun"/>
          <w:b/>
          <w:bCs/>
          <w:color w:val="0070C0"/>
          <w:sz w:val="20"/>
          <w:szCs w:val="20"/>
          <w:u w:val="single"/>
          <w:lang w:val="en-GB"/>
        </w:rPr>
      </w:pPr>
    </w:p>
    <w:p w14:paraId="3D386CA2" w14:textId="77777777" w:rsidR="00787BEB" w:rsidRDefault="00787BEB" w:rsidP="0064279A">
      <w:pPr>
        <w:pStyle w:val="paragraph"/>
        <w:spacing w:before="0" w:beforeAutospacing="0" w:after="0" w:afterAutospacing="0"/>
        <w:textAlignment w:val="baseline"/>
        <w:rPr>
          <w:rStyle w:val="normaltextrun"/>
          <w:b/>
          <w:bCs/>
          <w:color w:val="0070C0"/>
          <w:sz w:val="20"/>
          <w:szCs w:val="20"/>
          <w:u w:val="single"/>
          <w:lang w:val="en-GB"/>
        </w:rPr>
      </w:pPr>
    </w:p>
    <w:p w14:paraId="487AF7D1" w14:textId="77777777" w:rsidR="00787BEB" w:rsidRDefault="00787BEB" w:rsidP="0064279A">
      <w:pPr>
        <w:pStyle w:val="paragraph"/>
        <w:spacing w:before="0" w:beforeAutospacing="0" w:after="0" w:afterAutospacing="0"/>
        <w:textAlignment w:val="baseline"/>
        <w:rPr>
          <w:rStyle w:val="normaltextrun"/>
          <w:b/>
          <w:bCs/>
          <w:color w:val="0070C0"/>
          <w:sz w:val="20"/>
          <w:szCs w:val="20"/>
          <w:u w:val="single"/>
          <w:lang w:val="en-GB"/>
        </w:rPr>
      </w:pPr>
    </w:p>
    <w:p w14:paraId="1991D94A" w14:textId="77777777" w:rsidR="00CA26F6" w:rsidRDefault="00CA26F6" w:rsidP="0064279A">
      <w:pPr>
        <w:pStyle w:val="paragraph"/>
        <w:spacing w:before="0" w:beforeAutospacing="0" w:after="0" w:afterAutospacing="0"/>
        <w:textAlignment w:val="baseline"/>
        <w:rPr>
          <w:rStyle w:val="normaltextrun"/>
          <w:color w:val="0070C0"/>
          <w:sz w:val="20"/>
          <w:szCs w:val="20"/>
          <w:lang w:val="en-GB"/>
        </w:rPr>
      </w:pPr>
    </w:p>
    <w:p w14:paraId="22BE1ABC" w14:textId="77777777" w:rsidR="00CA26F6" w:rsidRDefault="00CA26F6" w:rsidP="0064279A">
      <w:pPr>
        <w:pStyle w:val="paragraph"/>
        <w:spacing w:before="0" w:beforeAutospacing="0" w:after="0" w:afterAutospacing="0"/>
        <w:textAlignment w:val="baseline"/>
        <w:rPr>
          <w:rStyle w:val="normaltextrun"/>
          <w:color w:val="0070C0"/>
          <w:sz w:val="20"/>
          <w:szCs w:val="20"/>
          <w:lang w:val="en-GB"/>
        </w:rPr>
      </w:pPr>
    </w:p>
    <w:p w14:paraId="4CCADE97" w14:textId="77777777" w:rsidR="008571D6" w:rsidRDefault="008571D6" w:rsidP="0064279A">
      <w:pPr>
        <w:pStyle w:val="paragraph"/>
        <w:spacing w:before="0" w:beforeAutospacing="0" w:after="0" w:afterAutospacing="0"/>
        <w:textAlignment w:val="baseline"/>
        <w:rPr>
          <w:rStyle w:val="normaltextrun"/>
          <w:color w:val="0070C0"/>
          <w:sz w:val="20"/>
          <w:szCs w:val="20"/>
          <w:lang w:val="en-GB"/>
        </w:rPr>
      </w:pPr>
    </w:p>
    <w:p w14:paraId="70912499" w14:textId="77777777" w:rsidR="008571D6" w:rsidRDefault="008571D6" w:rsidP="0064279A">
      <w:pPr>
        <w:pStyle w:val="paragraph"/>
        <w:spacing w:before="0" w:beforeAutospacing="0" w:after="0" w:afterAutospacing="0"/>
        <w:textAlignment w:val="baseline"/>
        <w:rPr>
          <w:rStyle w:val="normaltextrun"/>
          <w:color w:val="0070C0"/>
          <w:sz w:val="20"/>
          <w:szCs w:val="20"/>
          <w:lang w:val="en-GB"/>
        </w:rPr>
      </w:pPr>
    </w:p>
    <w:p w14:paraId="543FC136" w14:textId="28B5B50F" w:rsidR="001C2A42" w:rsidRDefault="003F4127" w:rsidP="008A48AF">
      <w:pPr>
        <w:pStyle w:val="paragraph"/>
        <w:spacing w:before="0" w:beforeAutospacing="0" w:after="0" w:afterAutospacing="0"/>
        <w:textAlignment w:val="baseline"/>
        <w:rPr>
          <w:rStyle w:val="normaltextrun"/>
          <w:sz w:val="20"/>
          <w:szCs w:val="20"/>
          <w:lang w:val="en-GB"/>
        </w:rPr>
      </w:pPr>
      <w:r w:rsidRPr="008571D6">
        <w:rPr>
          <w:rStyle w:val="normaltextrun"/>
          <w:sz w:val="20"/>
          <w:szCs w:val="20"/>
          <w:lang w:val="en-GB"/>
        </w:rPr>
        <w:t>We believe th</w:t>
      </w:r>
      <w:r w:rsidR="00BC4981" w:rsidRPr="008571D6">
        <w:rPr>
          <w:rStyle w:val="normaltextrun"/>
          <w:sz w:val="20"/>
          <w:szCs w:val="20"/>
          <w:lang w:val="en-GB"/>
        </w:rPr>
        <w:t xml:space="preserve">ese are valid </w:t>
      </w:r>
      <w:r w:rsidR="006F4DA6" w:rsidRPr="008571D6">
        <w:rPr>
          <w:rStyle w:val="normaltextrun"/>
          <w:sz w:val="20"/>
          <w:szCs w:val="20"/>
          <w:lang w:val="en-GB"/>
        </w:rPr>
        <w:t xml:space="preserve">scenarios which can occur in the network and are worth discussing further. </w:t>
      </w:r>
      <w:r w:rsidR="001860D4" w:rsidRPr="008571D6">
        <w:rPr>
          <w:rStyle w:val="normaltextrun"/>
          <w:sz w:val="20"/>
          <w:szCs w:val="20"/>
          <w:lang w:val="en-GB"/>
        </w:rPr>
        <w:t xml:space="preserve">Once the UE has reported a pair of beams that it can receive </w:t>
      </w:r>
      <w:r w:rsidR="00495DFF" w:rsidRPr="008571D6">
        <w:rPr>
          <w:rStyle w:val="normaltextrun"/>
          <w:sz w:val="20"/>
          <w:szCs w:val="20"/>
          <w:lang w:val="en-GB"/>
        </w:rPr>
        <w:t>simultaneously</w:t>
      </w:r>
      <w:r w:rsidR="001D019E" w:rsidRPr="008571D6">
        <w:rPr>
          <w:rStyle w:val="normaltextrun"/>
          <w:sz w:val="20"/>
          <w:szCs w:val="20"/>
          <w:lang w:val="en-GB"/>
        </w:rPr>
        <w:t xml:space="preserve">, there could </w:t>
      </w:r>
      <w:r w:rsidR="00B90FDF" w:rsidRPr="008571D6">
        <w:rPr>
          <w:rStyle w:val="normaltextrun"/>
          <w:sz w:val="20"/>
          <w:szCs w:val="20"/>
          <w:lang w:val="en-GB"/>
        </w:rPr>
        <w:t xml:space="preserve">be a change in the conditions </w:t>
      </w:r>
      <w:r w:rsidR="00FC53EE" w:rsidRPr="008571D6">
        <w:rPr>
          <w:rStyle w:val="normaltextrun"/>
          <w:sz w:val="20"/>
          <w:szCs w:val="20"/>
          <w:lang w:val="en-GB"/>
        </w:rPr>
        <w:t xml:space="preserve">and the network </w:t>
      </w:r>
      <w:r w:rsidR="00A76D2D">
        <w:rPr>
          <w:rStyle w:val="normaltextrun"/>
          <w:sz w:val="20"/>
          <w:szCs w:val="20"/>
          <w:lang w:val="en-GB"/>
        </w:rPr>
        <w:t>will not know</w:t>
      </w:r>
      <w:r w:rsidR="00FC53EE" w:rsidRPr="008571D6">
        <w:rPr>
          <w:rStyle w:val="normaltextrun"/>
          <w:sz w:val="20"/>
          <w:szCs w:val="20"/>
          <w:lang w:val="en-GB"/>
        </w:rPr>
        <w:t xml:space="preserve"> that the </w:t>
      </w:r>
      <w:r w:rsidR="00FE061C" w:rsidRPr="008571D6">
        <w:rPr>
          <w:rStyle w:val="normaltextrun"/>
          <w:sz w:val="20"/>
          <w:szCs w:val="20"/>
          <w:lang w:val="en-GB"/>
        </w:rPr>
        <w:t>UE can no longer receive these beams</w:t>
      </w:r>
      <w:r w:rsidR="00DE61B6">
        <w:rPr>
          <w:rStyle w:val="normaltextrun"/>
          <w:sz w:val="20"/>
          <w:szCs w:val="20"/>
          <w:lang w:val="en-GB"/>
        </w:rPr>
        <w:t xml:space="preserve"> simultaneously</w:t>
      </w:r>
      <w:r w:rsidR="005B3D35" w:rsidRPr="008571D6">
        <w:rPr>
          <w:rStyle w:val="normaltextrun"/>
          <w:sz w:val="20"/>
          <w:szCs w:val="20"/>
          <w:lang w:val="en-GB"/>
        </w:rPr>
        <w:t>.</w:t>
      </w:r>
      <w:r w:rsidR="00DE61B6">
        <w:rPr>
          <w:rStyle w:val="normaltextrun"/>
          <w:sz w:val="20"/>
          <w:szCs w:val="20"/>
          <w:lang w:val="en-GB"/>
        </w:rPr>
        <w:t xml:space="preserve"> </w:t>
      </w:r>
      <w:r w:rsidR="001C2A42">
        <w:rPr>
          <w:rStyle w:val="normaltextrun"/>
          <w:sz w:val="20"/>
          <w:szCs w:val="20"/>
          <w:lang w:val="en-GB"/>
        </w:rPr>
        <w:t>There can also be scenarios such as in s</w:t>
      </w:r>
      <w:r w:rsidR="00DE61B6">
        <w:rPr>
          <w:rStyle w:val="normaltextrun"/>
          <w:sz w:val="20"/>
          <w:szCs w:val="20"/>
          <w:lang w:val="en-GB"/>
        </w:rPr>
        <w:t>ingle</w:t>
      </w:r>
      <w:r w:rsidR="001C2A42">
        <w:rPr>
          <w:rStyle w:val="normaltextrun"/>
          <w:sz w:val="20"/>
          <w:szCs w:val="20"/>
          <w:lang w:val="en-GB"/>
        </w:rPr>
        <w:t>-DCI</w:t>
      </w:r>
      <w:r w:rsidR="00DE61B6">
        <w:rPr>
          <w:rStyle w:val="normaltextrun"/>
          <w:sz w:val="20"/>
          <w:szCs w:val="20"/>
          <w:lang w:val="en-GB"/>
        </w:rPr>
        <w:t>,</w:t>
      </w:r>
      <w:r w:rsidR="001C2A42">
        <w:rPr>
          <w:rStyle w:val="normaltextrun"/>
          <w:sz w:val="20"/>
          <w:szCs w:val="20"/>
          <w:lang w:val="en-GB"/>
        </w:rPr>
        <w:t xml:space="preserve"> which has common link adaptation, that the UE does </w:t>
      </w:r>
      <w:r w:rsidR="0001298D">
        <w:rPr>
          <w:rStyle w:val="normaltextrun"/>
          <w:sz w:val="20"/>
          <w:szCs w:val="20"/>
          <w:lang w:val="en-GB"/>
        </w:rPr>
        <w:t xml:space="preserve">not </w:t>
      </w:r>
      <w:r w:rsidR="00694198">
        <w:rPr>
          <w:rStyle w:val="normaltextrun"/>
          <w:sz w:val="20"/>
          <w:szCs w:val="20"/>
          <w:lang w:val="en-GB"/>
        </w:rPr>
        <w:t>experience major gains in throughput due to m-TRP mode of op</w:t>
      </w:r>
      <w:r w:rsidR="00501F71">
        <w:rPr>
          <w:rStyle w:val="normaltextrun"/>
          <w:sz w:val="20"/>
          <w:szCs w:val="20"/>
          <w:lang w:val="en-GB"/>
        </w:rPr>
        <w:t>e</w:t>
      </w:r>
      <w:r w:rsidR="00694198">
        <w:rPr>
          <w:rStyle w:val="normaltextrun"/>
          <w:sz w:val="20"/>
          <w:szCs w:val="20"/>
          <w:lang w:val="en-GB"/>
        </w:rPr>
        <w:t>ration</w:t>
      </w:r>
      <w:r w:rsidR="00501F71">
        <w:rPr>
          <w:rStyle w:val="normaltextrun"/>
          <w:sz w:val="20"/>
          <w:szCs w:val="20"/>
          <w:lang w:val="en-GB"/>
        </w:rPr>
        <w:t xml:space="preserve"> in case one of the links has a lower MCS relative to the other</w:t>
      </w:r>
      <w:r w:rsidR="0001298D">
        <w:rPr>
          <w:rStyle w:val="normaltextrun"/>
          <w:sz w:val="20"/>
          <w:szCs w:val="20"/>
          <w:lang w:val="en-GB"/>
        </w:rPr>
        <w:t xml:space="preserve">. </w:t>
      </w:r>
    </w:p>
    <w:p w14:paraId="097569B6" w14:textId="77777777" w:rsidR="00DE61B6" w:rsidRPr="008571D6" w:rsidRDefault="00DE61B6" w:rsidP="008A48AF">
      <w:pPr>
        <w:pStyle w:val="paragraph"/>
        <w:spacing w:before="0" w:beforeAutospacing="0" w:after="0" w:afterAutospacing="0"/>
        <w:textAlignment w:val="baseline"/>
        <w:rPr>
          <w:rStyle w:val="normaltextrun"/>
          <w:sz w:val="20"/>
          <w:szCs w:val="20"/>
          <w:lang w:val="en-GB"/>
        </w:rPr>
      </w:pPr>
    </w:p>
    <w:p w14:paraId="02D1A579" w14:textId="5034F86A" w:rsidR="00EE7712" w:rsidRDefault="00EE7712" w:rsidP="008A48AF">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However, </w:t>
      </w:r>
      <w:r w:rsidR="00DE61B6">
        <w:rPr>
          <w:rStyle w:val="normaltextrun"/>
          <w:sz w:val="20"/>
          <w:szCs w:val="20"/>
          <w:lang w:val="en-GB"/>
        </w:rPr>
        <w:t xml:space="preserve">we do not see that the scenarios listed under issue 2-1-4 are directly related to the TCI state switching </w:t>
      </w:r>
      <w:r w:rsidR="00DE61B6" w:rsidRPr="00135DB3">
        <w:rPr>
          <w:rStyle w:val="normaltextrun"/>
          <w:i/>
          <w:sz w:val="20"/>
          <w:szCs w:val="20"/>
          <w:lang w:val="en-GB"/>
        </w:rPr>
        <w:t>delay</w:t>
      </w:r>
      <w:r w:rsidR="00DE61B6">
        <w:rPr>
          <w:rStyle w:val="normaltextrun"/>
          <w:sz w:val="20"/>
          <w:szCs w:val="20"/>
          <w:lang w:val="en-GB"/>
        </w:rPr>
        <w:t xml:space="preserve"> requirements. The delay requirements may be impacted by these scenarios</w:t>
      </w:r>
      <w:r w:rsidR="009C46D8">
        <w:rPr>
          <w:rStyle w:val="normaltextrun"/>
          <w:sz w:val="20"/>
          <w:szCs w:val="20"/>
          <w:lang w:val="en-GB"/>
        </w:rPr>
        <w:t>,</w:t>
      </w:r>
      <w:r w:rsidR="00DE61B6">
        <w:rPr>
          <w:rStyle w:val="normaltextrun"/>
          <w:sz w:val="20"/>
          <w:szCs w:val="20"/>
          <w:lang w:val="en-GB"/>
        </w:rPr>
        <w:t xml:space="preserve"> if the change in UE ability to receive the indicated TCI states </w:t>
      </w:r>
      <w:r w:rsidR="1D382161" w:rsidRPr="7E6E13D8">
        <w:rPr>
          <w:rStyle w:val="normaltextrun"/>
          <w:sz w:val="20"/>
          <w:szCs w:val="20"/>
          <w:lang w:val="en-GB"/>
        </w:rPr>
        <w:t>(</w:t>
      </w:r>
      <w:r w:rsidR="00DE61B6">
        <w:rPr>
          <w:rStyle w:val="normaltextrun"/>
          <w:sz w:val="20"/>
          <w:szCs w:val="20"/>
          <w:lang w:val="en-GB"/>
        </w:rPr>
        <w:t>simultaneously</w:t>
      </w:r>
      <w:r w:rsidR="416F27E2" w:rsidRPr="7E6E13D8">
        <w:rPr>
          <w:rStyle w:val="normaltextrun"/>
          <w:sz w:val="20"/>
          <w:szCs w:val="20"/>
          <w:lang w:val="en-GB"/>
        </w:rPr>
        <w:t>)</w:t>
      </w:r>
      <w:r w:rsidR="00DE61B6">
        <w:rPr>
          <w:rStyle w:val="normaltextrun"/>
          <w:sz w:val="20"/>
          <w:szCs w:val="20"/>
          <w:lang w:val="en-GB"/>
        </w:rPr>
        <w:t xml:space="preserve"> changes </w:t>
      </w:r>
      <w:r w:rsidR="00DE61B6" w:rsidRPr="00E802EC">
        <w:rPr>
          <w:rStyle w:val="normaltextrun"/>
          <w:i/>
          <w:iCs/>
          <w:sz w:val="20"/>
          <w:szCs w:val="20"/>
          <w:lang w:val="en-GB"/>
        </w:rPr>
        <w:t>during</w:t>
      </w:r>
      <w:r w:rsidR="00DE61B6">
        <w:rPr>
          <w:rStyle w:val="normaltextrun"/>
          <w:sz w:val="20"/>
          <w:szCs w:val="20"/>
          <w:lang w:val="en-GB"/>
        </w:rPr>
        <w:t xml:space="preserve"> the TCI state switch due to </w:t>
      </w:r>
      <w:proofErr w:type="gramStart"/>
      <w:r w:rsidR="00DE61B6">
        <w:rPr>
          <w:rStyle w:val="normaltextrun"/>
          <w:sz w:val="20"/>
          <w:szCs w:val="20"/>
          <w:lang w:val="en-GB"/>
        </w:rPr>
        <w:t>e.g.</w:t>
      </w:r>
      <w:proofErr w:type="gramEnd"/>
      <w:r w:rsidR="00DE61B6">
        <w:rPr>
          <w:rStyle w:val="normaltextrun"/>
          <w:sz w:val="20"/>
          <w:szCs w:val="20"/>
          <w:lang w:val="en-GB"/>
        </w:rPr>
        <w:t xml:space="preserve"> UE rotation. However, this may already happen in single T</w:t>
      </w:r>
      <w:r w:rsidR="00FC534D">
        <w:rPr>
          <w:rStyle w:val="normaltextrun"/>
          <w:sz w:val="20"/>
          <w:szCs w:val="20"/>
          <w:lang w:val="en-GB"/>
        </w:rPr>
        <w:t>RP</w:t>
      </w:r>
      <w:r w:rsidR="00DE61B6">
        <w:rPr>
          <w:rStyle w:val="normaltextrun"/>
          <w:sz w:val="20"/>
          <w:szCs w:val="20"/>
          <w:lang w:val="en-GB"/>
        </w:rPr>
        <w:t xml:space="preserve"> scenario. Therefore, we think that the discussion about these scenarios is more related to the group</w:t>
      </w:r>
      <w:r w:rsidR="3D487358" w:rsidRPr="7E6E13D8">
        <w:rPr>
          <w:rStyle w:val="normaltextrun"/>
          <w:sz w:val="20"/>
          <w:szCs w:val="20"/>
          <w:lang w:val="en-GB"/>
        </w:rPr>
        <w:t>-</w:t>
      </w:r>
      <w:r w:rsidR="00DE61B6">
        <w:rPr>
          <w:rStyle w:val="normaltextrun"/>
          <w:sz w:val="20"/>
          <w:szCs w:val="20"/>
          <w:lang w:val="en-GB"/>
        </w:rPr>
        <w:t xml:space="preserve">based beam reporting </w:t>
      </w:r>
      <w:r w:rsidR="00FC534D">
        <w:rPr>
          <w:rStyle w:val="normaltextrun"/>
          <w:sz w:val="20"/>
          <w:szCs w:val="20"/>
          <w:lang w:val="en-GB"/>
        </w:rPr>
        <w:t>requirements and multi-Rx mode of operation</w:t>
      </w:r>
      <w:r w:rsidR="00DE61B6">
        <w:rPr>
          <w:rStyle w:val="normaltextrun"/>
          <w:sz w:val="20"/>
          <w:szCs w:val="20"/>
          <w:lang w:val="en-GB"/>
        </w:rPr>
        <w:t xml:space="preserve">, which is why </w:t>
      </w:r>
      <w:r>
        <w:rPr>
          <w:rStyle w:val="normaltextrun"/>
          <w:sz w:val="20"/>
          <w:szCs w:val="20"/>
          <w:lang w:val="en-GB"/>
        </w:rPr>
        <w:t xml:space="preserve">we propose that the UE behaviour </w:t>
      </w:r>
      <w:r w:rsidR="0098774C">
        <w:rPr>
          <w:rStyle w:val="normaltextrun"/>
          <w:sz w:val="20"/>
          <w:szCs w:val="20"/>
          <w:lang w:val="en-GB"/>
        </w:rPr>
        <w:t xml:space="preserve">in such scenarios </w:t>
      </w:r>
      <w:r w:rsidR="00DE61B6">
        <w:rPr>
          <w:rStyle w:val="normaltextrun"/>
          <w:sz w:val="20"/>
          <w:szCs w:val="20"/>
          <w:lang w:val="en-GB"/>
        </w:rPr>
        <w:t>is</w:t>
      </w:r>
      <w:r w:rsidR="0098774C">
        <w:rPr>
          <w:rStyle w:val="normaltextrun"/>
          <w:sz w:val="20"/>
          <w:szCs w:val="20"/>
          <w:lang w:val="en-GB"/>
        </w:rPr>
        <w:t xml:space="preserve"> discussed as a part of the </w:t>
      </w:r>
      <w:r w:rsidR="00DE61B6">
        <w:rPr>
          <w:rStyle w:val="normaltextrun"/>
          <w:sz w:val="20"/>
          <w:szCs w:val="20"/>
          <w:lang w:val="en-GB"/>
        </w:rPr>
        <w:t>m</w:t>
      </w:r>
      <w:r w:rsidR="0098774C">
        <w:rPr>
          <w:rStyle w:val="normaltextrun"/>
          <w:sz w:val="20"/>
          <w:szCs w:val="20"/>
          <w:lang w:val="en-GB"/>
        </w:rPr>
        <w:t xml:space="preserve">ulti-Rx General </w:t>
      </w:r>
      <w:r w:rsidR="007930D8">
        <w:rPr>
          <w:rStyle w:val="normaltextrun"/>
          <w:sz w:val="20"/>
          <w:szCs w:val="20"/>
          <w:lang w:val="en-GB"/>
        </w:rPr>
        <w:t xml:space="preserve">Aspects </w:t>
      </w:r>
      <w:r w:rsidR="00DE61B6">
        <w:rPr>
          <w:rStyle w:val="normaltextrun"/>
          <w:sz w:val="20"/>
          <w:szCs w:val="20"/>
          <w:lang w:val="en-GB"/>
        </w:rPr>
        <w:t>agenda item</w:t>
      </w:r>
      <w:r w:rsidR="00FC534D">
        <w:rPr>
          <w:rStyle w:val="normaltextrun"/>
          <w:sz w:val="20"/>
          <w:szCs w:val="20"/>
          <w:lang w:val="en-GB"/>
        </w:rPr>
        <w:t>.</w:t>
      </w:r>
    </w:p>
    <w:p w14:paraId="53DFE0E7" w14:textId="77777777" w:rsidR="00176B1A" w:rsidRDefault="00176B1A" w:rsidP="008A48AF">
      <w:pPr>
        <w:pStyle w:val="paragraph"/>
        <w:spacing w:before="0" w:beforeAutospacing="0" w:after="0" w:afterAutospacing="0"/>
        <w:textAlignment w:val="baseline"/>
        <w:rPr>
          <w:rStyle w:val="normaltextrun"/>
          <w:sz w:val="20"/>
          <w:szCs w:val="20"/>
          <w:lang w:val="en-GB"/>
        </w:rPr>
      </w:pPr>
    </w:p>
    <w:p w14:paraId="1B317404" w14:textId="77777777" w:rsidR="00A22B33" w:rsidRPr="00EF698B" w:rsidRDefault="00A22B33" w:rsidP="00A22B33">
      <w:pPr>
        <w:pStyle w:val="RAN4H1"/>
        <w:rPr>
          <w:lang w:val="en-US"/>
        </w:rPr>
      </w:pPr>
      <w:r w:rsidRPr="00EF698B">
        <w:rPr>
          <w:lang w:val="en-US"/>
        </w:rPr>
        <w:t>Conclusion</w:t>
      </w:r>
      <w:bookmarkEnd w:id="39"/>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5FE42C4E" w14:textId="64100F45" w:rsidR="00C0052F" w:rsidRDefault="00A22B33">
      <w:pPr>
        <w:pStyle w:val="TOC5"/>
        <w:rPr>
          <w:rFonts w:asciiTheme="minorHAnsi" w:eastAsiaTheme="minorEastAsia" w:hAnsiTheme="minorHAnsi"/>
          <w:b w:val="0"/>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5068268" w:history="1">
        <w:r w:rsidR="00C0052F" w:rsidRPr="00C03E4B">
          <w:rPr>
            <w:rStyle w:val="Hyperlink"/>
            <w:noProof/>
          </w:rPr>
          <w:t>Proposal 1: For single-DCI scenario, RAN4 to reuse Rel-16 requirements for the case of DCI based TCI switching for PDSCH.</w:t>
        </w:r>
      </w:hyperlink>
    </w:p>
    <w:p w14:paraId="4F848653" w14:textId="026A75F0" w:rsidR="00C0052F" w:rsidRDefault="00000000">
      <w:pPr>
        <w:pStyle w:val="TOC5"/>
        <w:rPr>
          <w:rFonts w:asciiTheme="minorHAnsi" w:eastAsiaTheme="minorEastAsia" w:hAnsiTheme="minorHAnsi"/>
          <w:b w:val="0"/>
          <w:noProof/>
          <w:sz w:val="22"/>
        </w:rPr>
      </w:pPr>
      <w:hyperlink w:anchor="_Toc135068269" w:history="1">
        <w:r w:rsidR="00C0052F" w:rsidRPr="00C03E4B">
          <w:rPr>
            <w:rStyle w:val="Hyperlink"/>
            <w:noProof/>
          </w:rPr>
          <w:t>Proposal 2: For multi-DCI scenario, DCI based TCI state switch is per TRP. Hence legacy requirement can be reused and applied per TRP.</w:t>
        </w:r>
      </w:hyperlink>
    </w:p>
    <w:p w14:paraId="2A21FDC3" w14:textId="7D437339" w:rsidR="00C0052F" w:rsidRDefault="00000000">
      <w:pPr>
        <w:pStyle w:val="TOC5"/>
        <w:rPr>
          <w:rFonts w:asciiTheme="minorHAnsi" w:eastAsiaTheme="minorEastAsia" w:hAnsiTheme="minorHAnsi"/>
          <w:b w:val="0"/>
          <w:noProof/>
          <w:sz w:val="22"/>
        </w:rPr>
      </w:pPr>
      <w:hyperlink w:anchor="_Toc135068270" w:history="1">
        <w:r w:rsidR="00C0052F" w:rsidRPr="00C03E4B">
          <w:rPr>
            <w:rStyle w:val="Hyperlink"/>
            <w:noProof/>
          </w:rPr>
          <w:t>Proposal 3: In single-DCI scenario, legacy TCI state switching requirements apply for MAC-CE based TCI indication method for PDCCH.</w:t>
        </w:r>
      </w:hyperlink>
    </w:p>
    <w:p w14:paraId="7510F2FC" w14:textId="16BD106F" w:rsidR="00C0052F" w:rsidRDefault="00000000">
      <w:pPr>
        <w:pStyle w:val="TOC5"/>
        <w:rPr>
          <w:rFonts w:asciiTheme="minorHAnsi" w:eastAsiaTheme="minorEastAsia" w:hAnsiTheme="minorHAnsi"/>
          <w:b w:val="0"/>
          <w:noProof/>
          <w:sz w:val="22"/>
        </w:rPr>
      </w:pPr>
      <w:hyperlink w:anchor="_Toc135068271" w:history="1">
        <w:r w:rsidR="00C0052F" w:rsidRPr="00C03E4B">
          <w:rPr>
            <w:rStyle w:val="Hyperlink"/>
            <w:noProof/>
            <w:lang w:val="en-GB"/>
          </w:rPr>
          <w:t>Proposal 4:</w:t>
        </w:r>
        <w:r w:rsidR="00C0052F" w:rsidRPr="00C03E4B">
          <w:rPr>
            <w:rStyle w:val="Hyperlink"/>
            <w:noProof/>
          </w:rPr>
          <w:t xml:space="preserve"> In multi-DCI scenario, legacy requirements for MAC-CE based TCI state switch for PDCCH apply per TRP.</w:t>
        </w:r>
      </w:hyperlink>
    </w:p>
    <w:p w14:paraId="2646A2E3" w14:textId="2E1AA200" w:rsidR="00C0052F" w:rsidRDefault="00000000">
      <w:pPr>
        <w:pStyle w:val="TOC4"/>
        <w:rPr>
          <w:rFonts w:asciiTheme="minorHAnsi" w:eastAsiaTheme="minorEastAsia" w:hAnsiTheme="minorHAnsi"/>
          <w:noProof/>
          <w:sz w:val="22"/>
        </w:rPr>
      </w:pPr>
      <w:hyperlink w:anchor="_Toc135068272" w:history="1">
        <w:r w:rsidR="00C0052F" w:rsidRPr="00C03E4B">
          <w:rPr>
            <w:rStyle w:val="Hyperlink"/>
            <w:b/>
            <w:noProof/>
          </w:rPr>
          <w:t>Observation 1:</w:t>
        </w:r>
        <w:r w:rsidR="00C0052F" w:rsidRPr="00C03E4B">
          <w:rPr>
            <w:rStyle w:val="Hyperlink"/>
            <w:noProof/>
          </w:rPr>
          <w:t xml:space="preserve"> Existing defined requirements for RRC-based TCI state switch delay apply only when one TCI state is configured in RRC state list.</w:t>
        </w:r>
      </w:hyperlink>
    </w:p>
    <w:p w14:paraId="7EE3A352" w14:textId="0FBF65BB" w:rsidR="00C0052F" w:rsidRDefault="00000000">
      <w:pPr>
        <w:pStyle w:val="TOC5"/>
        <w:rPr>
          <w:rFonts w:asciiTheme="minorHAnsi" w:eastAsiaTheme="minorEastAsia" w:hAnsiTheme="minorHAnsi"/>
          <w:b w:val="0"/>
          <w:noProof/>
          <w:sz w:val="22"/>
        </w:rPr>
      </w:pPr>
      <w:hyperlink w:anchor="_Toc135068273" w:history="1">
        <w:r w:rsidR="00C0052F" w:rsidRPr="00C03E4B">
          <w:rPr>
            <w:rStyle w:val="Hyperlink"/>
            <w:noProof/>
            <w:lang w:val="en-GB"/>
          </w:rPr>
          <w:t>Proposal 5: A switch from single TCI state to dual TCI state for PDCCH is a switch between single-DCI and multi-DCI scenarios, which involves RRC signalling. Hence, RRC based TCI state switch delay requirements will apply and requirements need to be updated for this case.</w:t>
        </w:r>
      </w:hyperlink>
    </w:p>
    <w:p w14:paraId="7DFD7E37" w14:textId="0C73F5F4" w:rsidR="00C0052F" w:rsidRDefault="00000000">
      <w:pPr>
        <w:pStyle w:val="TOC5"/>
        <w:rPr>
          <w:rFonts w:asciiTheme="minorHAnsi" w:eastAsiaTheme="minorEastAsia" w:hAnsiTheme="minorHAnsi"/>
          <w:b w:val="0"/>
          <w:noProof/>
          <w:sz w:val="22"/>
        </w:rPr>
      </w:pPr>
      <w:hyperlink w:anchor="_Toc135068274" w:history="1">
        <w:r w:rsidR="00C0052F" w:rsidRPr="00C03E4B">
          <w:rPr>
            <w:rStyle w:val="Hyperlink"/>
            <w:noProof/>
            <w:lang w:eastAsia="zh-CN"/>
          </w:rPr>
          <w:t>Proposal 6:</w:t>
        </w:r>
        <w:r w:rsidR="00C0052F" w:rsidRPr="00C03E4B">
          <w:rPr>
            <w:rStyle w:val="Hyperlink"/>
            <w:noProof/>
          </w:rPr>
          <w:t xml:space="preserve"> For single DCI scenario, if a pair of TCI states is activated by MAC-CE command in the active TCI state list, include the first SSB of each TCI state in the activation delay.</w:t>
        </w:r>
      </w:hyperlink>
    </w:p>
    <w:p w14:paraId="00E006E2" w14:textId="7CE10033" w:rsidR="00C0052F" w:rsidRDefault="00000000">
      <w:pPr>
        <w:pStyle w:val="TOC5"/>
        <w:rPr>
          <w:rFonts w:asciiTheme="minorHAnsi" w:eastAsiaTheme="minorEastAsia" w:hAnsiTheme="minorHAnsi"/>
          <w:b w:val="0"/>
          <w:noProof/>
          <w:sz w:val="22"/>
        </w:rPr>
      </w:pPr>
      <w:hyperlink w:anchor="_Toc135068275" w:history="1">
        <w:r w:rsidR="00C0052F" w:rsidRPr="00C03E4B">
          <w:rPr>
            <w:rStyle w:val="Hyperlink"/>
            <w:noProof/>
          </w:rPr>
          <w:t>Proposal 7: T</w:t>
        </w:r>
        <w:r w:rsidR="00C0052F" w:rsidRPr="00C03E4B">
          <w:rPr>
            <w:rStyle w:val="Hyperlink"/>
            <w:noProof/>
            <w:vertAlign w:val="subscript"/>
          </w:rPr>
          <w:t>first-SSB</w:t>
        </w:r>
        <w:r w:rsidR="00C0052F" w:rsidRPr="00C03E4B">
          <w:rPr>
            <w:rStyle w:val="Hyperlink"/>
            <w:noProof/>
          </w:rPr>
          <w:t xml:space="preserve"> is not included in the active TCI state list update delay for a target TCI state that is already in the active TCI state list.</w:t>
        </w:r>
      </w:hyperlink>
    </w:p>
    <w:p w14:paraId="2D74CC2B" w14:textId="2D3BD994" w:rsidR="00C0052F" w:rsidRDefault="00000000">
      <w:pPr>
        <w:pStyle w:val="TOC5"/>
        <w:rPr>
          <w:rFonts w:asciiTheme="minorHAnsi" w:eastAsiaTheme="minorEastAsia" w:hAnsiTheme="minorHAnsi"/>
          <w:b w:val="0"/>
          <w:noProof/>
          <w:sz w:val="22"/>
        </w:rPr>
      </w:pPr>
      <w:hyperlink w:anchor="_Toc135068276" w:history="1">
        <w:r w:rsidR="00C0052F" w:rsidRPr="00C03E4B">
          <w:rPr>
            <w:rStyle w:val="Hyperlink"/>
            <w:noProof/>
          </w:rPr>
          <w:t>Proposal 8: For multi-DCI scenario, active TCI state list update to dual TCI states is not considered.</w:t>
        </w:r>
      </w:hyperlink>
    </w:p>
    <w:p w14:paraId="74C94CB6" w14:textId="3F1AD188" w:rsidR="00C0052F" w:rsidRDefault="00000000">
      <w:pPr>
        <w:pStyle w:val="TOC5"/>
        <w:rPr>
          <w:rFonts w:asciiTheme="minorHAnsi" w:eastAsiaTheme="minorEastAsia" w:hAnsiTheme="minorHAnsi"/>
          <w:b w:val="0"/>
          <w:noProof/>
          <w:sz w:val="22"/>
        </w:rPr>
      </w:pPr>
      <w:hyperlink w:anchor="_Toc135068277" w:history="1">
        <w:r w:rsidR="00C0052F" w:rsidRPr="00C03E4B">
          <w:rPr>
            <w:rStyle w:val="Hyperlink"/>
            <w:noProof/>
            <w:lang w:eastAsia="zh-CN"/>
          </w:rPr>
          <w:t>Proposal 9: For MAC-CE based TCI state switch delay, define requirements also for unknown target TCI state.</w:t>
        </w:r>
      </w:hyperlink>
    </w:p>
    <w:p w14:paraId="6990C535" w14:textId="2B151845" w:rsidR="00C0052F" w:rsidRDefault="00000000">
      <w:pPr>
        <w:pStyle w:val="TOC5"/>
        <w:rPr>
          <w:rFonts w:asciiTheme="minorHAnsi" w:eastAsiaTheme="minorEastAsia" w:hAnsiTheme="minorHAnsi"/>
          <w:b w:val="0"/>
          <w:noProof/>
          <w:sz w:val="22"/>
        </w:rPr>
      </w:pPr>
      <w:hyperlink w:anchor="_Toc135068278" w:history="1">
        <w:r w:rsidR="00C0052F" w:rsidRPr="00C03E4B">
          <w:rPr>
            <w:rStyle w:val="Hyperlink"/>
            <w:noProof/>
            <w:lang w:val="en-GB"/>
          </w:rPr>
          <w:t xml:space="preserve">Proposal 10: RAN4 to add the following in the existing known conditions,” In case of simultaneous reception, dual TCI states are configured based on beams reported by the UE in </w:t>
        </w:r>
        <w:r w:rsidR="00C0052F" w:rsidRPr="00C03E4B">
          <w:rPr>
            <w:rStyle w:val="Hyperlink"/>
            <w:noProof/>
          </w:rPr>
          <w:t>Rel-17 group-based L1-RSRP report</w:t>
        </w:r>
        <w:r w:rsidR="00C0052F" w:rsidRPr="00C03E4B">
          <w:rPr>
            <w:rStyle w:val="Hyperlink"/>
            <w:noProof/>
            <w:lang w:val="en-GB"/>
          </w:rPr>
          <w:t>”.</w:t>
        </w:r>
      </w:hyperlink>
    </w:p>
    <w:p w14:paraId="293F9F11" w14:textId="71EA77D0" w:rsidR="00A66ECF" w:rsidRPr="00FA2E8E" w:rsidRDefault="00A22B33" w:rsidP="00FA2E8E">
      <w:r>
        <w:fldChar w:fldCharType="end"/>
      </w:r>
      <w:bookmarkStart w:id="40" w:name="_Toc116995849"/>
    </w:p>
    <w:p w14:paraId="7FFE1C0D" w14:textId="1F681E74" w:rsidR="00A22B33" w:rsidRPr="0060543D" w:rsidRDefault="00A22B33" w:rsidP="00721CFC">
      <w:pPr>
        <w:pStyle w:val="RAN4H1"/>
        <w:numPr>
          <w:ilvl w:val="0"/>
          <w:numId w:val="0"/>
        </w:numPr>
        <w:ind w:left="360" w:hanging="360"/>
      </w:pPr>
      <w:r w:rsidRPr="00EF698B">
        <w:t>References</w:t>
      </w:r>
      <w:bookmarkEnd w:id="40"/>
    </w:p>
    <w:p w14:paraId="3DB7E848" w14:textId="77777777" w:rsidR="004A52BC" w:rsidRDefault="004A52BC" w:rsidP="004A52BC">
      <w:pPr>
        <w:pStyle w:val="ListParagraph"/>
        <w:numPr>
          <w:ilvl w:val="0"/>
          <w:numId w:val="21"/>
        </w:numPr>
        <w:ind w:right="-22"/>
      </w:pPr>
      <w:bookmarkStart w:id="41" w:name="_Ref114500673"/>
      <w:bookmarkStart w:id="42" w:name="_Ref127350893"/>
      <w:bookmarkStart w:id="43" w:name="_Ref133392276"/>
      <w:bookmarkEnd w:id="41"/>
      <w:r w:rsidRPr="00E57074">
        <w:t>R4- 2306319</w:t>
      </w:r>
      <w:r w:rsidRPr="005B6379">
        <w:t xml:space="preserve">, </w:t>
      </w:r>
      <w:bookmarkEnd w:id="42"/>
      <w:r w:rsidRPr="00E57074">
        <w:t>WF on FR2_multiRx_part2</w:t>
      </w:r>
      <w:r>
        <w:t xml:space="preserve">, Ericsson, </w:t>
      </w:r>
      <w:r w:rsidRPr="00E57074">
        <w:t>3GPP TSG-RAN WG4 Meeting # 106-bis-e</w:t>
      </w:r>
      <w:r>
        <w:t xml:space="preserve">, </w:t>
      </w:r>
      <w:r w:rsidRPr="00E57074">
        <w:t xml:space="preserve">Electronic Meeting, 17 April – 26 </w:t>
      </w:r>
      <w:proofErr w:type="gramStart"/>
      <w:r w:rsidRPr="00E57074">
        <w:t>April,</w:t>
      </w:r>
      <w:proofErr w:type="gramEnd"/>
      <w:r w:rsidRPr="00E57074">
        <w:t xml:space="preserve"> 2023</w:t>
      </w:r>
      <w:r>
        <w:t>.</w:t>
      </w:r>
      <w:bookmarkEnd w:id="43"/>
    </w:p>
    <w:p w14:paraId="62EF9BBA" w14:textId="77777777" w:rsidR="0060543D" w:rsidRPr="00A22B33" w:rsidRDefault="0060543D" w:rsidP="00A22B33"/>
    <w:sectPr w:rsidR="0060543D" w:rsidRPr="00A22B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CB45" w14:textId="77777777" w:rsidR="006A6EF9" w:rsidRDefault="006A6EF9" w:rsidP="00001C9B">
      <w:pPr>
        <w:spacing w:after="0" w:line="240" w:lineRule="auto"/>
      </w:pPr>
      <w:r>
        <w:separator/>
      </w:r>
    </w:p>
  </w:endnote>
  <w:endnote w:type="continuationSeparator" w:id="0">
    <w:p w14:paraId="7D100DAE" w14:textId="77777777" w:rsidR="006A6EF9" w:rsidRDefault="006A6EF9" w:rsidP="00001C9B">
      <w:pPr>
        <w:spacing w:after="0" w:line="240" w:lineRule="auto"/>
      </w:pPr>
      <w:r>
        <w:continuationSeparator/>
      </w:r>
    </w:p>
  </w:endnote>
  <w:endnote w:type="continuationNotice" w:id="1">
    <w:p w14:paraId="006E31A0" w14:textId="77777777" w:rsidR="006A6EF9" w:rsidRDefault="006A6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ACB1B" w14:textId="77777777" w:rsidR="006A6EF9" w:rsidRDefault="006A6EF9" w:rsidP="00001C9B">
      <w:pPr>
        <w:spacing w:after="0" w:line="240" w:lineRule="auto"/>
      </w:pPr>
      <w:r>
        <w:separator/>
      </w:r>
    </w:p>
  </w:footnote>
  <w:footnote w:type="continuationSeparator" w:id="0">
    <w:p w14:paraId="1E66E26E" w14:textId="77777777" w:rsidR="006A6EF9" w:rsidRDefault="006A6EF9" w:rsidP="00001C9B">
      <w:pPr>
        <w:spacing w:after="0" w:line="240" w:lineRule="auto"/>
      </w:pPr>
      <w:r>
        <w:continuationSeparator/>
      </w:r>
    </w:p>
  </w:footnote>
  <w:footnote w:type="continuationNotice" w:id="1">
    <w:p w14:paraId="3EE5363C" w14:textId="77777777" w:rsidR="006A6EF9" w:rsidRDefault="006A6E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0BAC"/>
    <w:multiLevelType w:val="hybridMultilevel"/>
    <w:tmpl w:val="CD6C217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4A0948"/>
    <w:multiLevelType w:val="multilevel"/>
    <w:tmpl w:val="62FCD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A94646"/>
    <w:multiLevelType w:val="multilevel"/>
    <w:tmpl w:val="6FDA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10AC1516"/>
    <w:lvl w:ilvl="0" w:tplc="530087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76444"/>
    <w:multiLevelType w:val="hybridMultilevel"/>
    <w:tmpl w:val="D534C6FE"/>
    <w:lvl w:ilvl="0" w:tplc="DC380A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C4EA5"/>
    <w:multiLevelType w:val="hybridMultilevel"/>
    <w:tmpl w:val="A4B2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729A9"/>
    <w:multiLevelType w:val="hybridMultilevel"/>
    <w:tmpl w:val="7DE09C1A"/>
    <w:lvl w:ilvl="0" w:tplc="8AC8AA5E">
      <w:numFmt w:val="bullet"/>
      <w:lvlText w:val="-"/>
      <w:lvlJc w:val="left"/>
      <w:pPr>
        <w:ind w:left="720" w:hanging="360"/>
      </w:pPr>
      <w:rPr>
        <w:rFonts w:ascii="Nokia Pure Text Light" w:eastAsiaTheme="minorHAnsi" w:hAnsi="Nokia Pure Text Light" w:cs="Nokia Pure Text Light"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EC06C8"/>
    <w:multiLevelType w:val="multilevel"/>
    <w:tmpl w:val="BFE408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F46776"/>
    <w:multiLevelType w:val="hybridMultilevel"/>
    <w:tmpl w:val="750A5A64"/>
    <w:lvl w:ilvl="0" w:tplc="BD3AD44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3854AD"/>
    <w:multiLevelType w:val="hybridMultilevel"/>
    <w:tmpl w:val="1B20FD2E"/>
    <w:lvl w:ilvl="0" w:tplc="2A0EB680">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85D6B"/>
    <w:multiLevelType w:val="multilevel"/>
    <w:tmpl w:val="223A6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056993">
    <w:abstractNumId w:val="3"/>
  </w:num>
  <w:num w:numId="2" w16cid:durableId="775684583">
    <w:abstractNumId w:val="10"/>
  </w:num>
  <w:num w:numId="3" w16cid:durableId="963193073">
    <w:abstractNumId w:val="21"/>
  </w:num>
  <w:num w:numId="4" w16cid:durableId="112791240">
    <w:abstractNumId w:val="9"/>
  </w:num>
  <w:num w:numId="5" w16cid:durableId="1861160939">
    <w:abstractNumId w:val="31"/>
  </w:num>
  <w:num w:numId="6" w16cid:durableId="391276896">
    <w:abstractNumId w:val="17"/>
  </w:num>
  <w:num w:numId="7" w16cid:durableId="1572957536">
    <w:abstractNumId w:val="20"/>
  </w:num>
  <w:num w:numId="8" w16cid:durableId="1259825081">
    <w:abstractNumId w:val="20"/>
    <w:lvlOverride w:ilvl="0">
      <w:startOverride w:val="1"/>
    </w:lvlOverride>
  </w:num>
  <w:num w:numId="9" w16cid:durableId="69161127">
    <w:abstractNumId w:val="20"/>
    <w:lvlOverride w:ilvl="0">
      <w:startOverride w:val="1"/>
    </w:lvlOverride>
  </w:num>
  <w:num w:numId="10" w16cid:durableId="852917535">
    <w:abstractNumId w:val="20"/>
    <w:lvlOverride w:ilvl="0">
      <w:startOverride w:val="1"/>
    </w:lvlOverride>
  </w:num>
  <w:num w:numId="11" w16cid:durableId="1341469094">
    <w:abstractNumId w:val="17"/>
    <w:lvlOverride w:ilvl="0">
      <w:startOverride w:val="1"/>
    </w:lvlOverride>
  </w:num>
  <w:num w:numId="12" w16cid:durableId="989209923">
    <w:abstractNumId w:val="20"/>
    <w:lvlOverride w:ilvl="0">
      <w:startOverride w:val="1"/>
    </w:lvlOverride>
  </w:num>
  <w:num w:numId="13" w16cid:durableId="2119644486">
    <w:abstractNumId w:val="17"/>
    <w:lvlOverride w:ilvl="0">
      <w:startOverride w:val="1"/>
    </w:lvlOverride>
  </w:num>
  <w:num w:numId="14" w16cid:durableId="1399400968">
    <w:abstractNumId w:val="20"/>
    <w:lvlOverride w:ilvl="0">
      <w:startOverride w:val="1"/>
    </w:lvlOverride>
  </w:num>
  <w:num w:numId="15" w16cid:durableId="1714384029">
    <w:abstractNumId w:val="33"/>
  </w:num>
  <w:num w:numId="16" w16cid:durableId="458228719">
    <w:abstractNumId w:val="8"/>
  </w:num>
  <w:num w:numId="17" w16cid:durableId="167990357">
    <w:abstractNumId w:val="29"/>
  </w:num>
  <w:num w:numId="18" w16cid:durableId="1458796707">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1130921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8842112">
    <w:abstractNumId w:val="16"/>
  </w:num>
  <w:num w:numId="21" w16cid:durableId="262110702">
    <w:abstractNumId w:val="26"/>
  </w:num>
  <w:num w:numId="22" w16cid:durableId="226381284">
    <w:abstractNumId w:val="17"/>
    <w:lvlOverride w:ilvl="0">
      <w:startOverride w:val="1"/>
    </w:lvlOverride>
  </w:num>
  <w:num w:numId="23" w16cid:durableId="1928996274">
    <w:abstractNumId w:val="20"/>
    <w:lvlOverride w:ilvl="0">
      <w:startOverride w:val="1"/>
    </w:lvlOverride>
  </w:num>
  <w:num w:numId="24" w16cid:durableId="714160475">
    <w:abstractNumId w:val="4"/>
  </w:num>
  <w:num w:numId="25" w16cid:durableId="206534301">
    <w:abstractNumId w:val="2"/>
  </w:num>
  <w:num w:numId="26" w16cid:durableId="1044065866">
    <w:abstractNumId w:val="2"/>
    <w:lvlOverride w:ilvl="0">
      <w:startOverride w:val="1"/>
    </w:lvlOverride>
  </w:num>
  <w:num w:numId="27" w16cid:durableId="351079826">
    <w:abstractNumId w:val="6"/>
  </w:num>
  <w:num w:numId="28" w16cid:durableId="799108075">
    <w:abstractNumId w:val="11"/>
  </w:num>
  <w:num w:numId="29" w16cid:durableId="1022245502">
    <w:abstractNumId w:val="7"/>
  </w:num>
  <w:num w:numId="30" w16cid:durableId="1696808764">
    <w:abstractNumId w:val="1"/>
  </w:num>
  <w:num w:numId="31" w16cid:durableId="827672061">
    <w:abstractNumId w:val="18"/>
  </w:num>
  <w:num w:numId="32" w16cid:durableId="813303786">
    <w:abstractNumId w:val="12"/>
  </w:num>
  <w:num w:numId="33" w16cid:durableId="260380520">
    <w:abstractNumId w:val="14"/>
  </w:num>
  <w:num w:numId="34" w16cid:durableId="1176457763">
    <w:abstractNumId w:val="35"/>
  </w:num>
  <w:num w:numId="35" w16cid:durableId="570628198">
    <w:abstractNumId w:val="15"/>
  </w:num>
  <w:num w:numId="36" w16cid:durableId="1848982701">
    <w:abstractNumId w:val="19"/>
  </w:num>
  <w:num w:numId="37" w16cid:durableId="844901271">
    <w:abstractNumId w:val="36"/>
  </w:num>
  <w:num w:numId="38" w16cid:durableId="1106190646">
    <w:abstractNumId w:val="25"/>
  </w:num>
  <w:num w:numId="39" w16cid:durableId="1931350109">
    <w:abstractNumId w:val="5"/>
  </w:num>
  <w:num w:numId="40" w16cid:durableId="353848509">
    <w:abstractNumId w:val="13"/>
  </w:num>
  <w:num w:numId="41" w16cid:durableId="278340171">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013756850">
    <w:abstractNumId w:val="22"/>
  </w:num>
  <w:num w:numId="43" w16cid:durableId="1384866287">
    <w:abstractNumId w:val="25"/>
  </w:num>
  <w:num w:numId="44" w16cid:durableId="241723064">
    <w:abstractNumId w:val="32"/>
  </w:num>
  <w:num w:numId="45" w16cid:durableId="1017973270">
    <w:abstractNumId w:val="27"/>
  </w:num>
  <w:num w:numId="46" w16cid:durableId="71390564">
    <w:abstractNumId w:val="28"/>
  </w:num>
  <w:num w:numId="47" w16cid:durableId="233666944">
    <w:abstractNumId w:val="0"/>
  </w:num>
  <w:num w:numId="48" w16cid:durableId="1392651722">
    <w:abstractNumId w:val="30"/>
  </w:num>
  <w:num w:numId="49" w16cid:durableId="1366905469">
    <w:abstractNumId w:val="23"/>
  </w:num>
  <w:num w:numId="50" w16cid:durableId="980622884">
    <w:abstractNumId w:val="34"/>
  </w:num>
  <w:num w:numId="51" w16cid:durableId="1676763353">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E49"/>
    <w:rsid w:val="00001C9B"/>
    <w:rsid w:val="000040DC"/>
    <w:rsid w:val="00005761"/>
    <w:rsid w:val="000072DB"/>
    <w:rsid w:val="00010A4F"/>
    <w:rsid w:val="00010DC7"/>
    <w:rsid w:val="0001176F"/>
    <w:rsid w:val="0001298D"/>
    <w:rsid w:val="000151EF"/>
    <w:rsid w:val="000214F2"/>
    <w:rsid w:val="0002172E"/>
    <w:rsid w:val="00022151"/>
    <w:rsid w:val="000239F5"/>
    <w:rsid w:val="0002796C"/>
    <w:rsid w:val="00030EAD"/>
    <w:rsid w:val="00043EE1"/>
    <w:rsid w:val="00046AEA"/>
    <w:rsid w:val="0006090A"/>
    <w:rsid w:val="00067DC5"/>
    <w:rsid w:val="0007144A"/>
    <w:rsid w:val="00073D8B"/>
    <w:rsid w:val="00074B1F"/>
    <w:rsid w:val="00080548"/>
    <w:rsid w:val="000806AC"/>
    <w:rsid w:val="00081063"/>
    <w:rsid w:val="000829FB"/>
    <w:rsid w:val="0008612A"/>
    <w:rsid w:val="00090E18"/>
    <w:rsid w:val="000963CD"/>
    <w:rsid w:val="000A0B77"/>
    <w:rsid w:val="000A10BC"/>
    <w:rsid w:val="000B0056"/>
    <w:rsid w:val="000B05EF"/>
    <w:rsid w:val="000B280C"/>
    <w:rsid w:val="000B2F89"/>
    <w:rsid w:val="000B5050"/>
    <w:rsid w:val="000B691F"/>
    <w:rsid w:val="000C3C7B"/>
    <w:rsid w:val="000D0F93"/>
    <w:rsid w:val="000D0FB1"/>
    <w:rsid w:val="000D3851"/>
    <w:rsid w:val="000D3A56"/>
    <w:rsid w:val="000E62DA"/>
    <w:rsid w:val="000F3273"/>
    <w:rsid w:val="000F5B8F"/>
    <w:rsid w:val="000F6008"/>
    <w:rsid w:val="00100022"/>
    <w:rsid w:val="001002B8"/>
    <w:rsid w:val="0010359A"/>
    <w:rsid w:val="00106416"/>
    <w:rsid w:val="00110481"/>
    <w:rsid w:val="001127C9"/>
    <w:rsid w:val="00115B88"/>
    <w:rsid w:val="001201EE"/>
    <w:rsid w:val="00120770"/>
    <w:rsid w:val="00121796"/>
    <w:rsid w:val="00123DAB"/>
    <w:rsid w:val="00126ACE"/>
    <w:rsid w:val="00132F6A"/>
    <w:rsid w:val="00133019"/>
    <w:rsid w:val="00133913"/>
    <w:rsid w:val="00133B6C"/>
    <w:rsid w:val="00134994"/>
    <w:rsid w:val="0013564C"/>
    <w:rsid w:val="00135DB3"/>
    <w:rsid w:val="00140221"/>
    <w:rsid w:val="0014572F"/>
    <w:rsid w:val="00151CB3"/>
    <w:rsid w:val="00152507"/>
    <w:rsid w:val="0015505B"/>
    <w:rsid w:val="00157D48"/>
    <w:rsid w:val="00160007"/>
    <w:rsid w:val="001614EE"/>
    <w:rsid w:val="00162C06"/>
    <w:rsid w:val="001633F6"/>
    <w:rsid w:val="00163E31"/>
    <w:rsid w:val="001642FC"/>
    <w:rsid w:val="001644FB"/>
    <w:rsid w:val="0016496B"/>
    <w:rsid w:val="001652D2"/>
    <w:rsid w:val="001729A8"/>
    <w:rsid w:val="001743E2"/>
    <w:rsid w:val="001745F8"/>
    <w:rsid w:val="00174A4E"/>
    <w:rsid w:val="00176B1A"/>
    <w:rsid w:val="00182F5A"/>
    <w:rsid w:val="001838CF"/>
    <w:rsid w:val="001860D4"/>
    <w:rsid w:val="001868EE"/>
    <w:rsid w:val="0019104A"/>
    <w:rsid w:val="0019112D"/>
    <w:rsid w:val="001A3BA4"/>
    <w:rsid w:val="001A6D1F"/>
    <w:rsid w:val="001B06B4"/>
    <w:rsid w:val="001B5DCB"/>
    <w:rsid w:val="001C2A42"/>
    <w:rsid w:val="001D019E"/>
    <w:rsid w:val="001D7021"/>
    <w:rsid w:val="001E1714"/>
    <w:rsid w:val="001E2F8A"/>
    <w:rsid w:val="001E30F6"/>
    <w:rsid w:val="001E422D"/>
    <w:rsid w:val="001F2DC6"/>
    <w:rsid w:val="001F7E87"/>
    <w:rsid w:val="00200D91"/>
    <w:rsid w:val="00200F56"/>
    <w:rsid w:val="00201644"/>
    <w:rsid w:val="00204D7C"/>
    <w:rsid w:val="00205E90"/>
    <w:rsid w:val="002103B7"/>
    <w:rsid w:val="002146E2"/>
    <w:rsid w:val="00215F77"/>
    <w:rsid w:val="00217BC2"/>
    <w:rsid w:val="00217EE5"/>
    <w:rsid w:val="0022001A"/>
    <w:rsid w:val="00220254"/>
    <w:rsid w:val="002238DA"/>
    <w:rsid w:val="0022461D"/>
    <w:rsid w:val="0023180D"/>
    <w:rsid w:val="00231B6F"/>
    <w:rsid w:val="00235F5C"/>
    <w:rsid w:val="00237E9C"/>
    <w:rsid w:val="00240186"/>
    <w:rsid w:val="00242ED9"/>
    <w:rsid w:val="002443F9"/>
    <w:rsid w:val="00244C03"/>
    <w:rsid w:val="00245332"/>
    <w:rsid w:val="00246DD9"/>
    <w:rsid w:val="002472A8"/>
    <w:rsid w:val="00247CE2"/>
    <w:rsid w:val="002541FE"/>
    <w:rsid w:val="00256779"/>
    <w:rsid w:val="00257FA3"/>
    <w:rsid w:val="00264BF2"/>
    <w:rsid w:val="002748C7"/>
    <w:rsid w:val="00277B56"/>
    <w:rsid w:val="002805AF"/>
    <w:rsid w:val="002839E8"/>
    <w:rsid w:val="00290D71"/>
    <w:rsid w:val="00295BA6"/>
    <w:rsid w:val="002A0240"/>
    <w:rsid w:val="002A19F5"/>
    <w:rsid w:val="002B0841"/>
    <w:rsid w:val="002B2A9F"/>
    <w:rsid w:val="002B4922"/>
    <w:rsid w:val="002C0500"/>
    <w:rsid w:val="002C22C3"/>
    <w:rsid w:val="002C25A2"/>
    <w:rsid w:val="002C25E8"/>
    <w:rsid w:val="002C2D19"/>
    <w:rsid w:val="002C30AD"/>
    <w:rsid w:val="002C3D7C"/>
    <w:rsid w:val="002C7A27"/>
    <w:rsid w:val="002D10FA"/>
    <w:rsid w:val="002D3B30"/>
    <w:rsid w:val="002D4C55"/>
    <w:rsid w:val="002D6671"/>
    <w:rsid w:val="002D7789"/>
    <w:rsid w:val="002E0E40"/>
    <w:rsid w:val="002E2959"/>
    <w:rsid w:val="002E5BA4"/>
    <w:rsid w:val="002E61E7"/>
    <w:rsid w:val="002E6848"/>
    <w:rsid w:val="002E6DED"/>
    <w:rsid w:val="002F02CD"/>
    <w:rsid w:val="002F0FBE"/>
    <w:rsid w:val="002F3647"/>
    <w:rsid w:val="002F778A"/>
    <w:rsid w:val="00300894"/>
    <w:rsid w:val="00300956"/>
    <w:rsid w:val="00303BF4"/>
    <w:rsid w:val="0030500C"/>
    <w:rsid w:val="0031155D"/>
    <w:rsid w:val="00313E6D"/>
    <w:rsid w:val="003145EA"/>
    <w:rsid w:val="003151A2"/>
    <w:rsid w:val="003155E6"/>
    <w:rsid w:val="00317187"/>
    <w:rsid w:val="00321858"/>
    <w:rsid w:val="003218C0"/>
    <w:rsid w:val="0032499A"/>
    <w:rsid w:val="003341F7"/>
    <w:rsid w:val="00335A35"/>
    <w:rsid w:val="00335DB7"/>
    <w:rsid w:val="00336FE6"/>
    <w:rsid w:val="00337504"/>
    <w:rsid w:val="00343108"/>
    <w:rsid w:val="00347FEC"/>
    <w:rsid w:val="0035234C"/>
    <w:rsid w:val="00353C25"/>
    <w:rsid w:val="00356F45"/>
    <w:rsid w:val="00357710"/>
    <w:rsid w:val="0036083B"/>
    <w:rsid w:val="00361CE5"/>
    <w:rsid w:val="00361E3D"/>
    <w:rsid w:val="00361FEB"/>
    <w:rsid w:val="00363CB8"/>
    <w:rsid w:val="00363D0A"/>
    <w:rsid w:val="003647F0"/>
    <w:rsid w:val="00366B74"/>
    <w:rsid w:val="00370430"/>
    <w:rsid w:val="003726DA"/>
    <w:rsid w:val="0037376A"/>
    <w:rsid w:val="00374E18"/>
    <w:rsid w:val="003751C8"/>
    <w:rsid w:val="003826C6"/>
    <w:rsid w:val="003955D1"/>
    <w:rsid w:val="00395789"/>
    <w:rsid w:val="003A4C34"/>
    <w:rsid w:val="003A4EC9"/>
    <w:rsid w:val="003A710A"/>
    <w:rsid w:val="003B4D4C"/>
    <w:rsid w:val="003B619E"/>
    <w:rsid w:val="003B659E"/>
    <w:rsid w:val="003C275E"/>
    <w:rsid w:val="003C3DEA"/>
    <w:rsid w:val="003C445E"/>
    <w:rsid w:val="003C61BC"/>
    <w:rsid w:val="003D2429"/>
    <w:rsid w:val="003D3A53"/>
    <w:rsid w:val="003D567F"/>
    <w:rsid w:val="003D5BC3"/>
    <w:rsid w:val="003D606D"/>
    <w:rsid w:val="003D6099"/>
    <w:rsid w:val="003E226D"/>
    <w:rsid w:val="003E452C"/>
    <w:rsid w:val="003E58DF"/>
    <w:rsid w:val="003F30BA"/>
    <w:rsid w:val="003F4127"/>
    <w:rsid w:val="003F6C92"/>
    <w:rsid w:val="003F6E93"/>
    <w:rsid w:val="0040133F"/>
    <w:rsid w:val="00404C4C"/>
    <w:rsid w:val="004075CC"/>
    <w:rsid w:val="00410881"/>
    <w:rsid w:val="0041293A"/>
    <w:rsid w:val="004133A1"/>
    <w:rsid w:val="0041397F"/>
    <w:rsid w:val="0041423F"/>
    <w:rsid w:val="00414F81"/>
    <w:rsid w:val="0041638A"/>
    <w:rsid w:val="004218FB"/>
    <w:rsid w:val="00423247"/>
    <w:rsid w:val="00425109"/>
    <w:rsid w:val="0042691B"/>
    <w:rsid w:val="004271CD"/>
    <w:rsid w:val="00431172"/>
    <w:rsid w:val="00432BB4"/>
    <w:rsid w:val="00435519"/>
    <w:rsid w:val="0043647A"/>
    <w:rsid w:val="00436A0F"/>
    <w:rsid w:val="00437150"/>
    <w:rsid w:val="0043750A"/>
    <w:rsid w:val="00444127"/>
    <w:rsid w:val="00447140"/>
    <w:rsid w:val="0045349A"/>
    <w:rsid w:val="00454570"/>
    <w:rsid w:val="004558D7"/>
    <w:rsid w:val="00460B7B"/>
    <w:rsid w:val="00470C41"/>
    <w:rsid w:val="0047233B"/>
    <w:rsid w:val="00472834"/>
    <w:rsid w:val="004732E9"/>
    <w:rsid w:val="00474AD6"/>
    <w:rsid w:val="004802E0"/>
    <w:rsid w:val="00480D4F"/>
    <w:rsid w:val="004825E4"/>
    <w:rsid w:val="00483AF4"/>
    <w:rsid w:val="004854BB"/>
    <w:rsid w:val="00487226"/>
    <w:rsid w:val="00490BEA"/>
    <w:rsid w:val="00495DFF"/>
    <w:rsid w:val="00496606"/>
    <w:rsid w:val="004970D3"/>
    <w:rsid w:val="004A52BC"/>
    <w:rsid w:val="004B1F8E"/>
    <w:rsid w:val="004C62C8"/>
    <w:rsid w:val="004D0024"/>
    <w:rsid w:val="004D204A"/>
    <w:rsid w:val="004D39CC"/>
    <w:rsid w:val="004D43C5"/>
    <w:rsid w:val="004E121F"/>
    <w:rsid w:val="004E5E66"/>
    <w:rsid w:val="004E7ABB"/>
    <w:rsid w:val="004E7ADB"/>
    <w:rsid w:val="004F1BCA"/>
    <w:rsid w:val="004F5994"/>
    <w:rsid w:val="004F6F41"/>
    <w:rsid w:val="005015F5"/>
    <w:rsid w:val="00501F71"/>
    <w:rsid w:val="005025C3"/>
    <w:rsid w:val="00503B4D"/>
    <w:rsid w:val="00504EE9"/>
    <w:rsid w:val="00506796"/>
    <w:rsid w:val="00510516"/>
    <w:rsid w:val="00511D01"/>
    <w:rsid w:val="00515DE6"/>
    <w:rsid w:val="00515E17"/>
    <w:rsid w:val="00521576"/>
    <w:rsid w:val="005250E6"/>
    <w:rsid w:val="00525191"/>
    <w:rsid w:val="00526EE9"/>
    <w:rsid w:val="00530013"/>
    <w:rsid w:val="0053372E"/>
    <w:rsid w:val="005338B9"/>
    <w:rsid w:val="005355DD"/>
    <w:rsid w:val="00542D23"/>
    <w:rsid w:val="00543EC2"/>
    <w:rsid w:val="0054442C"/>
    <w:rsid w:val="00546DE7"/>
    <w:rsid w:val="00547A27"/>
    <w:rsid w:val="00550285"/>
    <w:rsid w:val="00550A46"/>
    <w:rsid w:val="00551353"/>
    <w:rsid w:val="00551D6C"/>
    <w:rsid w:val="00553E8D"/>
    <w:rsid w:val="005576B3"/>
    <w:rsid w:val="00562492"/>
    <w:rsid w:val="00564196"/>
    <w:rsid w:val="005651B9"/>
    <w:rsid w:val="005670E3"/>
    <w:rsid w:val="005708E5"/>
    <w:rsid w:val="0057232C"/>
    <w:rsid w:val="00572A20"/>
    <w:rsid w:val="00573065"/>
    <w:rsid w:val="00576A95"/>
    <w:rsid w:val="00577E40"/>
    <w:rsid w:val="00580377"/>
    <w:rsid w:val="005836F8"/>
    <w:rsid w:val="005854B4"/>
    <w:rsid w:val="005918FA"/>
    <w:rsid w:val="00592A86"/>
    <w:rsid w:val="00593A18"/>
    <w:rsid w:val="00594431"/>
    <w:rsid w:val="00595A76"/>
    <w:rsid w:val="005A072D"/>
    <w:rsid w:val="005A1449"/>
    <w:rsid w:val="005A1706"/>
    <w:rsid w:val="005A18BA"/>
    <w:rsid w:val="005A38F7"/>
    <w:rsid w:val="005A596E"/>
    <w:rsid w:val="005A621E"/>
    <w:rsid w:val="005A686E"/>
    <w:rsid w:val="005A7A00"/>
    <w:rsid w:val="005B0F3E"/>
    <w:rsid w:val="005B3D35"/>
    <w:rsid w:val="005B4801"/>
    <w:rsid w:val="005B4DBB"/>
    <w:rsid w:val="005B65EB"/>
    <w:rsid w:val="005C0CA3"/>
    <w:rsid w:val="005C23A4"/>
    <w:rsid w:val="005C7A61"/>
    <w:rsid w:val="005D1467"/>
    <w:rsid w:val="005D1CDF"/>
    <w:rsid w:val="005D2BB7"/>
    <w:rsid w:val="005E1DBA"/>
    <w:rsid w:val="005E5EBA"/>
    <w:rsid w:val="005E61A8"/>
    <w:rsid w:val="005F0A62"/>
    <w:rsid w:val="005F5ED7"/>
    <w:rsid w:val="005F6419"/>
    <w:rsid w:val="00603A81"/>
    <w:rsid w:val="0060543D"/>
    <w:rsid w:val="00605AEA"/>
    <w:rsid w:val="0060787C"/>
    <w:rsid w:val="006100EA"/>
    <w:rsid w:val="006104DD"/>
    <w:rsid w:val="0061070F"/>
    <w:rsid w:val="00610AD4"/>
    <w:rsid w:val="0061116E"/>
    <w:rsid w:val="006128C8"/>
    <w:rsid w:val="006130B5"/>
    <w:rsid w:val="00615863"/>
    <w:rsid w:val="00617400"/>
    <w:rsid w:val="006175D4"/>
    <w:rsid w:val="006175DF"/>
    <w:rsid w:val="00621AD3"/>
    <w:rsid w:val="006267DB"/>
    <w:rsid w:val="00632D29"/>
    <w:rsid w:val="00636A42"/>
    <w:rsid w:val="0064279A"/>
    <w:rsid w:val="0064296B"/>
    <w:rsid w:val="00642DD5"/>
    <w:rsid w:val="00643664"/>
    <w:rsid w:val="006463AF"/>
    <w:rsid w:val="00650DDF"/>
    <w:rsid w:val="0065422C"/>
    <w:rsid w:val="00654E9C"/>
    <w:rsid w:val="00657006"/>
    <w:rsid w:val="0066163C"/>
    <w:rsid w:val="00664950"/>
    <w:rsid w:val="0066535A"/>
    <w:rsid w:val="00667165"/>
    <w:rsid w:val="00675C35"/>
    <w:rsid w:val="00681F72"/>
    <w:rsid w:val="00683220"/>
    <w:rsid w:val="00683D13"/>
    <w:rsid w:val="00686DDB"/>
    <w:rsid w:val="0068751D"/>
    <w:rsid w:val="00687FA0"/>
    <w:rsid w:val="00687FE7"/>
    <w:rsid w:val="006911A8"/>
    <w:rsid w:val="006912F6"/>
    <w:rsid w:val="0069167F"/>
    <w:rsid w:val="00692B9F"/>
    <w:rsid w:val="00694198"/>
    <w:rsid w:val="006A3C11"/>
    <w:rsid w:val="006A6EF9"/>
    <w:rsid w:val="006A755A"/>
    <w:rsid w:val="006B2BB1"/>
    <w:rsid w:val="006B2CFB"/>
    <w:rsid w:val="006B33B0"/>
    <w:rsid w:val="006B5948"/>
    <w:rsid w:val="006B7010"/>
    <w:rsid w:val="006B7511"/>
    <w:rsid w:val="006C19E5"/>
    <w:rsid w:val="006C1F6F"/>
    <w:rsid w:val="006C3095"/>
    <w:rsid w:val="006C5DD9"/>
    <w:rsid w:val="006C6034"/>
    <w:rsid w:val="006D2B52"/>
    <w:rsid w:val="006D45EA"/>
    <w:rsid w:val="006E0D50"/>
    <w:rsid w:val="006E1151"/>
    <w:rsid w:val="006E3902"/>
    <w:rsid w:val="006E4729"/>
    <w:rsid w:val="006E6311"/>
    <w:rsid w:val="006E7A69"/>
    <w:rsid w:val="006F273F"/>
    <w:rsid w:val="006F4555"/>
    <w:rsid w:val="006F4A34"/>
    <w:rsid w:val="006F4DA6"/>
    <w:rsid w:val="006F4FAF"/>
    <w:rsid w:val="006F69BA"/>
    <w:rsid w:val="00701CB8"/>
    <w:rsid w:val="00710250"/>
    <w:rsid w:val="00712D98"/>
    <w:rsid w:val="007145FF"/>
    <w:rsid w:val="00714F65"/>
    <w:rsid w:val="007152FD"/>
    <w:rsid w:val="00715B2A"/>
    <w:rsid w:val="00715F1C"/>
    <w:rsid w:val="00716AFF"/>
    <w:rsid w:val="00721CFC"/>
    <w:rsid w:val="00723752"/>
    <w:rsid w:val="0072692F"/>
    <w:rsid w:val="007350CF"/>
    <w:rsid w:val="00740872"/>
    <w:rsid w:val="00743262"/>
    <w:rsid w:val="00744FD3"/>
    <w:rsid w:val="007450F1"/>
    <w:rsid w:val="00746A3F"/>
    <w:rsid w:val="00751515"/>
    <w:rsid w:val="00753C12"/>
    <w:rsid w:val="0075423B"/>
    <w:rsid w:val="0075793C"/>
    <w:rsid w:val="007602AE"/>
    <w:rsid w:val="00761165"/>
    <w:rsid w:val="007626B7"/>
    <w:rsid w:val="007664F2"/>
    <w:rsid w:val="00771E15"/>
    <w:rsid w:val="0077383F"/>
    <w:rsid w:val="00775072"/>
    <w:rsid w:val="007753A2"/>
    <w:rsid w:val="00775E28"/>
    <w:rsid w:val="00780EBC"/>
    <w:rsid w:val="0078212B"/>
    <w:rsid w:val="007844C0"/>
    <w:rsid w:val="00784DF6"/>
    <w:rsid w:val="00785232"/>
    <w:rsid w:val="0078780B"/>
    <w:rsid w:val="00787BEB"/>
    <w:rsid w:val="00787D2A"/>
    <w:rsid w:val="007930D8"/>
    <w:rsid w:val="007A25A7"/>
    <w:rsid w:val="007A30D9"/>
    <w:rsid w:val="007A3801"/>
    <w:rsid w:val="007A3EFF"/>
    <w:rsid w:val="007B186C"/>
    <w:rsid w:val="007B2E4D"/>
    <w:rsid w:val="007B3C3D"/>
    <w:rsid w:val="007B66D4"/>
    <w:rsid w:val="007C0897"/>
    <w:rsid w:val="007C12B6"/>
    <w:rsid w:val="007C1696"/>
    <w:rsid w:val="007C181D"/>
    <w:rsid w:val="007C3ED0"/>
    <w:rsid w:val="007C5971"/>
    <w:rsid w:val="007C5A6E"/>
    <w:rsid w:val="007C7F85"/>
    <w:rsid w:val="007C7FC9"/>
    <w:rsid w:val="007D360E"/>
    <w:rsid w:val="007D450B"/>
    <w:rsid w:val="007D4A19"/>
    <w:rsid w:val="007D582F"/>
    <w:rsid w:val="007E30B1"/>
    <w:rsid w:val="007E3835"/>
    <w:rsid w:val="007E41AA"/>
    <w:rsid w:val="007F2D18"/>
    <w:rsid w:val="007F54B9"/>
    <w:rsid w:val="007F66A8"/>
    <w:rsid w:val="00804A3C"/>
    <w:rsid w:val="00804A9B"/>
    <w:rsid w:val="00806A76"/>
    <w:rsid w:val="00811C9D"/>
    <w:rsid w:val="00812A85"/>
    <w:rsid w:val="00816649"/>
    <w:rsid w:val="00816C80"/>
    <w:rsid w:val="008211FA"/>
    <w:rsid w:val="00821498"/>
    <w:rsid w:val="008348A0"/>
    <w:rsid w:val="00841BCD"/>
    <w:rsid w:val="00842F23"/>
    <w:rsid w:val="00851A8E"/>
    <w:rsid w:val="0085357F"/>
    <w:rsid w:val="0085365B"/>
    <w:rsid w:val="008537B1"/>
    <w:rsid w:val="008549C6"/>
    <w:rsid w:val="0085566E"/>
    <w:rsid w:val="008571D6"/>
    <w:rsid w:val="00860D96"/>
    <w:rsid w:val="00862894"/>
    <w:rsid w:val="00863A11"/>
    <w:rsid w:val="008756D3"/>
    <w:rsid w:val="00877E10"/>
    <w:rsid w:val="0088128A"/>
    <w:rsid w:val="008826C1"/>
    <w:rsid w:val="008836B9"/>
    <w:rsid w:val="00883DFD"/>
    <w:rsid w:val="00897954"/>
    <w:rsid w:val="008A0241"/>
    <w:rsid w:val="008A0E6D"/>
    <w:rsid w:val="008A1BF7"/>
    <w:rsid w:val="008A48AF"/>
    <w:rsid w:val="008A5B0E"/>
    <w:rsid w:val="008A7188"/>
    <w:rsid w:val="008A7234"/>
    <w:rsid w:val="008B08E8"/>
    <w:rsid w:val="008B0961"/>
    <w:rsid w:val="008B5712"/>
    <w:rsid w:val="008B64A8"/>
    <w:rsid w:val="008C1151"/>
    <w:rsid w:val="008C3B33"/>
    <w:rsid w:val="008C7A63"/>
    <w:rsid w:val="008D0EA3"/>
    <w:rsid w:val="008D1012"/>
    <w:rsid w:val="008D1C83"/>
    <w:rsid w:val="008D66A7"/>
    <w:rsid w:val="008D74BE"/>
    <w:rsid w:val="008E22AA"/>
    <w:rsid w:val="008E282E"/>
    <w:rsid w:val="008E6DC5"/>
    <w:rsid w:val="008E6FBA"/>
    <w:rsid w:val="008F7575"/>
    <w:rsid w:val="00900206"/>
    <w:rsid w:val="0090091A"/>
    <w:rsid w:val="009042BD"/>
    <w:rsid w:val="00904CF0"/>
    <w:rsid w:val="009075FC"/>
    <w:rsid w:val="00907A9D"/>
    <w:rsid w:val="00913B8C"/>
    <w:rsid w:val="0091559E"/>
    <w:rsid w:val="00923206"/>
    <w:rsid w:val="00927A72"/>
    <w:rsid w:val="0093138E"/>
    <w:rsid w:val="00936159"/>
    <w:rsid w:val="00945864"/>
    <w:rsid w:val="00945C53"/>
    <w:rsid w:val="00951AB9"/>
    <w:rsid w:val="00952D5C"/>
    <w:rsid w:val="00957D38"/>
    <w:rsid w:val="0096127D"/>
    <w:rsid w:val="00971D28"/>
    <w:rsid w:val="00974877"/>
    <w:rsid w:val="00977E1D"/>
    <w:rsid w:val="009827D3"/>
    <w:rsid w:val="00983244"/>
    <w:rsid w:val="009854FB"/>
    <w:rsid w:val="0098774C"/>
    <w:rsid w:val="00993F60"/>
    <w:rsid w:val="009956A6"/>
    <w:rsid w:val="0099752B"/>
    <w:rsid w:val="009A0C9B"/>
    <w:rsid w:val="009A258E"/>
    <w:rsid w:val="009A32B2"/>
    <w:rsid w:val="009A72A2"/>
    <w:rsid w:val="009B0573"/>
    <w:rsid w:val="009B151E"/>
    <w:rsid w:val="009B30E5"/>
    <w:rsid w:val="009B7B4B"/>
    <w:rsid w:val="009B7C21"/>
    <w:rsid w:val="009C2722"/>
    <w:rsid w:val="009C46D8"/>
    <w:rsid w:val="009D1963"/>
    <w:rsid w:val="009D1DA9"/>
    <w:rsid w:val="009D3A11"/>
    <w:rsid w:val="009D4955"/>
    <w:rsid w:val="009D5896"/>
    <w:rsid w:val="009E6258"/>
    <w:rsid w:val="009E75BC"/>
    <w:rsid w:val="009F242B"/>
    <w:rsid w:val="009F5694"/>
    <w:rsid w:val="00A016FA"/>
    <w:rsid w:val="00A02D8A"/>
    <w:rsid w:val="00A04992"/>
    <w:rsid w:val="00A05EB3"/>
    <w:rsid w:val="00A147AA"/>
    <w:rsid w:val="00A21D71"/>
    <w:rsid w:val="00A22B33"/>
    <w:rsid w:val="00A22B78"/>
    <w:rsid w:val="00A2533F"/>
    <w:rsid w:val="00A25AE5"/>
    <w:rsid w:val="00A27BB3"/>
    <w:rsid w:val="00A34462"/>
    <w:rsid w:val="00A3554C"/>
    <w:rsid w:val="00A357ED"/>
    <w:rsid w:val="00A37002"/>
    <w:rsid w:val="00A4355E"/>
    <w:rsid w:val="00A45666"/>
    <w:rsid w:val="00A51782"/>
    <w:rsid w:val="00A546B9"/>
    <w:rsid w:val="00A62CAB"/>
    <w:rsid w:val="00A64B89"/>
    <w:rsid w:val="00A66ECF"/>
    <w:rsid w:val="00A70932"/>
    <w:rsid w:val="00A74329"/>
    <w:rsid w:val="00A76D2D"/>
    <w:rsid w:val="00A7727F"/>
    <w:rsid w:val="00A838DC"/>
    <w:rsid w:val="00A84CD2"/>
    <w:rsid w:val="00A850B6"/>
    <w:rsid w:val="00A871FB"/>
    <w:rsid w:val="00A8793D"/>
    <w:rsid w:val="00A87F82"/>
    <w:rsid w:val="00A92BCD"/>
    <w:rsid w:val="00A94DA3"/>
    <w:rsid w:val="00AA06A6"/>
    <w:rsid w:val="00AA0E67"/>
    <w:rsid w:val="00AA1B0E"/>
    <w:rsid w:val="00AA47B6"/>
    <w:rsid w:val="00AB0B4C"/>
    <w:rsid w:val="00AB24C8"/>
    <w:rsid w:val="00AB4154"/>
    <w:rsid w:val="00AB5133"/>
    <w:rsid w:val="00AB6644"/>
    <w:rsid w:val="00AC163B"/>
    <w:rsid w:val="00AC532E"/>
    <w:rsid w:val="00AC5CA7"/>
    <w:rsid w:val="00AC5D0B"/>
    <w:rsid w:val="00AC5FA8"/>
    <w:rsid w:val="00AC6058"/>
    <w:rsid w:val="00AD3B66"/>
    <w:rsid w:val="00AD3C97"/>
    <w:rsid w:val="00AD5D33"/>
    <w:rsid w:val="00AD64FE"/>
    <w:rsid w:val="00AD77B6"/>
    <w:rsid w:val="00AE28A6"/>
    <w:rsid w:val="00AE2BA5"/>
    <w:rsid w:val="00AE52C0"/>
    <w:rsid w:val="00AE56B1"/>
    <w:rsid w:val="00AE6D09"/>
    <w:rsid w:val="00AE7A93"/>
    <w:rsid w:val="00AE7B75"/>
    <w:rsid w:val="00AF23F7"/>
    <w:rsid w:val="00AF2483"/>
    <w:rsid w:val="00AF7A7C"/>
    <w:rsid w:val="00B02F38"/>
    <w:rsid w:val="00B0527B"/>
    <w:rsid w:val="00B06DFD"/>
    <w:rsid w:val="00B11CE5"/>
    <w:rsid w:val="00B1398C"/>
    <w:rsid w:val="00B146C0"/>
    <w:rsid w:val="00B1603F"/>
    <w:rsid w:val="00B169D4"/>
    <w:rsid w:val="00B178C5"/>
    <w:rsid w:val="00B2365A"/>
    <w:rsid w:val="00B24543"/>
    <w:rsid w:val="00B25573"/>
    <w:rsid w:val="00B3367A"/>
    <w:rsid w:val="00B40320"/>
    <w:rsid w:val="00B408B6"/>
    <w:rsid w:val="00B45BC5"/>
    <w:rsid w:val="00B45EFE"/>
    <w:rsid w:val="00B542DA"/>
    <w:rsid w:val="00B5571C"/>
    <w:rsid w:val="00B5758B"/>
    <w:rsid w:val="00B60163"/>
    <w:rsid w:val="00B60EB6"/>
    <w:rsid w:val="00B61BB8"/>
    <w:rsid w:val="00B638EE"/>
    <w:rsid w:val="00B65082"/>
    <w:rsid w:val="00B71F1A"/>
    <w:rsid w:val="00B73862"/>
    <w:rsid w:val="00B73F43"/>
    <w:rsid w:val="00B7541E"/>
    <w:rsid w:val="00B763A6"/>
    <w:rsid w:val="00B77095"/>
    <w:rsid w:val="00B8153C"/>
    <w:rsid w:val="00B81EC4"/>
    <w:rsid w:val="00B87B51"/>
    <w:rsid w:val="00B90FDF"/>
    <w:rsid w:val="00B92263"/>
    <w:rsid w:val="00B949DB"/>
    <w:rsid w:val="00B9510C"/>
    <w:rsid w:val="00B96A25"/>
    <w:rsid w:val="00B9707B"/>
    <w:rsid w:val="00BA074A"/>
    <w:rsid w:val="00BA1507"/>
    <w:rsid w:val="00BA214E"/>
    <w:rsid w:val="00BA6B66"/>
    <w:rsid w:val="00BA6E48"/>
    <w:rsid w:val="00BB1067"/>
    <w:rsid w:val="00BB2409"/>
    <w:rsid w:val="00BB3C61"/>
    <w:rsid w:val="00BB4DA2"/>
    <w:rsid w:val="00BB5D3C"/>
    <w:rsid w:val="00BC2A9E"/>
    <w:rsid w:val="00BC4981"/>
    <w:rsid w:val="00BE0AF6"/>
    <w:rsid w:val="00BE14C4"/>
    <w:rsid w:val="00BE1A64"/>
    <w:rsid w:val="00BE1F03"/>
    <w:rsid w:val="00BE3CA8"/>
    <w:rsid w:val="00BE46FA"/>
    <w:rsid w:val="00BE58A7"/>
    <w:rsid w:val="00BE5C57"/>
    <w:rsid w:val="00BF0187"/>
    <w:rsid w:val="00BF2218"/>
    <w:rsid w:val="00BF2D91"/>
    <w:rsid w:val="00BF3636"/>
    <w:rsid w:val="00BF4FE7"/>
    <w:rsid w:val="00BF6363"/>
    <w:rsid w:val="00BF7CC7"/>
    <w:rsid w:val="00C0052F"/>
    <w:rsid w:val="00C028EA"/>
    <w:rsid w:val="00C0426B"/>
    <w:rsid w:val="00C045DF"/>
    <w:rsid w:val="00C050DB"/>
    <w:rsid w:val="00C05342"/>
    <w:rsid w:val="00C055F6"/>
    <w:rsid w:val="00C1341E"/>
    <w:rsid w:val="00C14C37"/>
    <w:rsid w:val="00C22AD5"/>
    <w:rsid w:val="00C22D5B"/>
    <w:rsid w:val="00C22FD6"/>
    <w:rsid w:val="00C23D7D"/>
    <w:rsid w:val="00C25FC9"/>
    <w:rsid w:val="00C26D43"/>
    <w:rsid w:val="00C305AF"/>
    <w:rsid w:val="00C41A04"/>
    <w:rsid w:val="00C427CC"/>
    <w:rsid w:val="00C46548"/>
    <w:rsid w:val="00C51183"/>
    <w:rsid w:val="00C558CC"/>
    <w:rsid w:val="00C55B04"/>
    <w:rsid w:val="00C574D5"/>
    <w:rsid w:val="00C6089F"/>
    <w:rsid w:val="00C625F6"/>
    <w:rsid w:val="00C63FD9"/>
    <w:rsid w:val="00C67212"/>
    <w:rsid w:val="00C71A69"/>
    <w:rsid w:val="00C72540"/>
    <w:rsid w:val="00C73C67"/>
    <w:rsid w:val="00C73F32"/>
    <w:rsid w:val="00C772F9"/>
    <w:rsid w:val="00C7790B"/>
    <w:rsid w:val="00C77D0D"/>
    <w:rsid w:val="00C82467"/>
    <w:rsid w:val="00C82A16"/>
    <w:rsid w:val="00C87462"/>
    <w:rsid w:val="00C87BB5"/>
    <w:rsid w:val="00C903B0"/>
    <w:rsid w:val="00C91FAE"/>
    <w:rsid w:val="00C94D92"/>
    <w:rsid w:val="00C96947"/>
    <w:rsid w:val="00CA14C6"/>
    <w:rsid w:val="00CA180C"/>
    <w:rsid w:val="00CA1C1E"/>
    <w:rsid w:val="00CA26F6"/>
    <w:rsid w:val="00CA6C75"/>
    <w:rsid w:val="00CA7E06"/>
    <w:rsid w:val="00CB22B2"/>
    <w:rsid w:val="00CB4D1F"/>
    <w:rsid w:val="00CB5CA9"/>
    <w:rsid w:val="00CB703D"/>
    <w:rsid w:val="00CC0D01"/>
    <w:rsid w:val="00CC3EE2"/>
    <w:rsid w:val="00CC5E10"/>
    <w:rsid w:val="00CD2427"/>
    <w:rsid w:val="00CD2B5E"/>
    <w:rsid w:val="00CD67C3"/>
    <w:rsid w:val="00CD7492"/>
    <w:rsid w:val="00CE0B9A"/>
    <w:rsid w:val="00CE3A6B"/>
    <w:rsid w:val="00CE3A91"/>
    <w:rsid w:val="00CE701F"/>
    <w:rsid w:val="00CE7B5D"/>
    <w:rsid w:val="00CF32DC"/>
    <w:rsid w:val="00CF575B"/>
    <w:rsid w:val="00CF6E2C"/>
    <w:rsid w:val="00D00211"/>
    <w:rsid w:val="00D01530"/>
    <w:rsid w:val="00D06309"/>
    <w:rsid w:val="00D1071F"/>
    <w:rsid w:val="00D110F6"/>
    <w:rsid w:val="00D14833"/>
    <w:rsid w:val="00D15E02"/>
    <w:rsid w:val="00D16E3A"/>
    <w:rsid w:val="00D16EC1"/>
    <w:rsid w:val="00D17883"/>
    <w:rsid w:val="00D22948"/>
    <w:rsid w:val="00D26556"/>
    <w:rsid w:val="00D27069"/>
    <w:rsid w:val="00D3322E"/>
    <w:rsid w:val="00D351EA"/>
    <w:rsid w:val="00D40288"/>
    <w:rsid w:val="00D40545"/>
    <w:rsid w:val="00D4118E"/>
    <w:rsid w:val="00D43403"/>
    <w:rsid w:val="00D5270B"/>
    <w:rsid w:val="00D546B0"/>
    <w:rsid w:val="00D62E71"/>
    <w:rsid w:val="00D6430D"/>
    <w:rsid w:val="00D64B3E"/>
    <w:rsid w:val="00D66188"/>
    <w:rsid w:val="00D731F6"/>
    <w:rsid w:val="00D740CA"/>
    <w:rsid w:val="00D7636C"/>
    <w:rsid w:val="00D80723"/>
    <w:rsid w:val="00D831F8"/>
    <w:rsid w:val="00D83747"/>
    <w:rsid w:val="00D84679"/>
    <w:rsid w:val="00D85728"/>
    <w:rsid w:val="00D87C41"/>
    <w:rsid w:val="00D90ED5"/>
    <w:rsid w:val="00D951CD"/>
    <w:rsid w:val="00D95481"/>
    <w:rsid w:val="00D97699"/>
    <w:rsid w:val="00DA269E"/>
    <w:rsid w:val="00DA31C3"/>
    <w:rsid w:val="00DA4939"/>
    <w:rsid w:val="00DA76B3"/>
    <w:rsid w:val="00DB2695"/>
    <w:rsid w:val="00DB7340"/>
    <w:rsid w:val="00DB7E7F"/>
    <w:rsid w:val="00DC11B5"/>
    <w:rsid w:val="00DC2C04"/>
    <w:rsid w:val="00DC3346"/>
    <w:rsid w:val="00DC3C66"/>
    <w:rsid w:val="00DC5C94"/>
    <w:rsid w:val="00DC6B94"/>
    <w:rsid w:val="00DC780C"/>
    <w:rsid w:val="00DC7A13"/>
    <w:rsid w:val="00DC7C9E"/>
    <w:rsid w:val="00DD22E3"/>
    <w:rsid w:val="00DD4A64"/>
    <w:rsid w:val="00DE0505"/>
    <w:rsid w:val="00DE1164"/>
    <w:rsid w:val="00DE61B6"/>
    <w:rsid w:val="00DF0C47"/>
    <w:rsid w:val="00DF2997"/>
    <w:rsid w:val="00DF299E"/>
    <w:rsid w:val="00DF6837"/>
    <w:rsid w:val="00DF6DF4"/>
    <w:rsid w:val="00E0016F"/>
    <w:rsid w:val="00E10BC4"/>
    <w:rsid w:val="00E138F3"/>
    <w:rsid w:val="00E13AF0"/>
    <w:rsid w:val="00E1415D"/>
    <w:rsid w:val="00E14768"/>
    <w:rsid w:val="00E17F38"/>
    <w:rsid w:val="00E21A3C"/>
    <w:rsid w:val="00E323E9"/>
    <w:rsid w:val="00E32810"/>
    <w:rsid w:val="00E33718"/>
    <w:rsid w:val="00E34018"/>
    <w:rsid w:val="00E34192"/>
    <w:rsid w:val="00E3570E"/>
    <w:rsid w:val="00E4327F"/>
    <w:rsid w:val="00E437D2"/>
    <w:rsid w:val="00E44484"/>
    <w:rsid w:val="00E51542"/>
    <w:rsid w:val="00E53407"/>
    <w:rsid w:val="00E53BD6"/>
    <w:rsid w:val="00E5463C"/>
    <w:rsid w:val="00E54BAF"/>
    <w:rsid w:val="00E55751"/>
    <w:rsid w:val="00E5759B"/>
    <w:rsid w:val="00E62D77"/>
    <w:rsid w:val="00E75AB3"/>
    <w:rsid w:val="00E775E7"/>
    <w:rsid w:val="00E802EC"/>
    <w:rsid w:val="00E81B36"/>
    <w:rsid w:val="00E906FB"/>
    <w:rsid w:val="00E92644"/>
    <w:rsid w:val="00E9341E"/>
    <w:rsid w:val="00EA0588"/>
    <w:rsid w:val="00EA14AD"/>
    <w:rsid w:val="00EA2311"/>
    <w:rsid w:val="00EA26F8"/>
    <w:rsid w:val="00EA2F10"/>
    <w:rsid w:val="00EA3DE2"/>
    <w:rsid w:val="00EA66E0"/>
    <w:rsid w:val="00EB0343"/>
    <w:rsid w:val="00EB34E1"/>
    <w:rsid w:val="00EB597B"/>
    <w:rsid w:val="00EC0843"/>
    <w:rsid w:val="00EC51E5"/>
    <w:rsid w:val="00EC569B"/>
    <w:rsid w:val="00EC5A06"/>
    <w:rsid w:val="00EC7BC3"/>
    <w:rsid w:val="00ED2A01"/>
    <w:rsid w:val="00ED7600"/>
    <w:rsid w:val="00EE0099"/>
    <w:rsid w:val="00EE7712"/>
    <w:rsid w:val="00EF4B3B"/>
    <w:rsid w:val="00EF6073"/>
    <w:rsid w:val="00EF639D"/>
    <w:rsid w:val="00EF698B"/>
    <w:rsid w:val="00F0229B"/>
    <w:rsid w:val="00F0231E"/>
    <w:rsid w:val="00F02CD7"/>
    <w:rsid w:val="00F11D0E"/>
    <w:rsid w:val="00F1339D"/>
    <w:rsid w:val="00F1362C"/>
    <w:rsid w:val="00F20382"/>
    <w:rsid w:val="00F22094"/>
    <w:rsid w:val="00F24EAA"/>
    <w:rsid w:val="00F32EBC"/>
    <w:rsid w:val="00F414F1"/>
    <w:rsid w:val="00F44733"/>
    <w:rsid w:val="00F50810"/>
    <w:rsid w:val="00F508B8"/>
    <w:rsid w:val="00F50965"/>
    <w:rsid w:val="00F62488"/>
    <w:rsid w:val="00F71145"/>
    <w:rsid w:val="00F72CB1"/>
    <w:rsid w:val="00F72E12"/>
    <w:rsid w:val="00F7672D"/>
    <w:rsid w:val="00F76A8D"/>
    <w:rsid w:val="00F76D04"/>
    <w:rsid w:val="00F8215E"/>
    <w:rsid w:val="00F824F5"/>
    <w:rsid w:val="00F85E41"/>
    <w:rsid w:val="00F86CDF"/>
    <w:rsid w:val="00F9081E"/>
    <w:rsid w:val="00F9374D"/>
    <w:rsid w:val="00F937D6"/>
    <w:rsid w:val="00F93D4B"/>
    <w:rsid w:val="00FA2E8E"/>
    <w:rsid w:val="00FA3CE5"/>
    <w:rsid w:val="00FA4276"/>
    <w:rsid w:val="00FB4E18"/>
    <w:rsid w:val="00FB54FF"/>
    <w:rsid w:val="00FC29B9"/>
    <w:rsid w:val="00FC3B85"/>
    <w:rsid w:val="00FC4FB7"/>
    <w:rsid w:val="00FC534D"/>
    <w:rsid w:val="00FC53EE"/>
    <w:rsid w:val="00FC6FD3"/>
    <w:rsid w:val="00FC7BAD"/>
    <w:rsid w:val="00FD0454"/>
    <w:rsid w:val="00FD3C3B"/>
    <w:rsid w:val="00FD4F5B"/>
    <w:rsid w:val="00FD5319"/>
    <w:rsid w:val="00FD57E6"/>
    <w:rsid w:val="00FD5FCA"/>
    <w:rsid w:val="00FD60ED"/>
    <w:rsid w:val="00FE0509"/>
    <w:rsid w:val="00FE061C"/>
    <w:rsid w:val="00FE305C"/>
    <w:rsid w:val="00FF0301"/>
    <w:rsid w:val="00FF0639"/>
    <w:rsid w:val="00FF3860"/>
    <w:rsid w:val="00FF4039"/>
    <w:rsid w:val="014EBDE1"/>
    <w:rsid w:val="02572800"/>
    <w:rsid w:val="03810B99"/>
    <w:rsid w:val="03879BA3"/>
    <w:rsid w:val="03B31493"/>
    <w:rsid w:val="04D9F9DE"/>
    <w:rsid w:val="05518C88"/>
    <w:rsid w:val="06C52B15"/>
    <w:rsid w:val="0987749F"/>
    <w:rsid w:val="0CCCE461"/>
    <w:rsid w:val="0CD8BA5A"/>
    <w:rsid w:val="0E029DB4"/>
    <w:rsid w:val="0E1CFF03"/>
    <w:rsid w:val="12FC08C4"/>
    <w:rsid w:val="17C960E4"/>
    <w:rsid w:val="1B81A06B"/>
    <w:rsid w:val="1CF02A67"/>
    <w:rsid w:val="1D382161"/>
    <w:rsid w:val="1D38C55D"/>
    <w:rsid w:val="1D8DF895"/>
    <w:rsid w:val="1FCC09BD"/>
    <w:rsid w:val="212F86A8"/>
    <w:rsid w:val="216EF6AB"/>
    <w:rsid w:val="23173059"/>
    <w:rsid w:val="24FCC85F"/>
    <w:rsid w:val="2594A199"/>
    <w:rsid w:val="27467029"/>
    <w:rsid w:val="2F7952F9"/>
    <w:rsid w:val="301D0011"/>
    <w:rsid w:val="32166A2F"/>
    <w:rsid w:val="3270019D"/>
    <w:rsid w:val="35F9B0CB"/>
    <w:rsid w:val="376B4257"/>
    <w:rsid w:val="3826D623"/>
    <w:rsid w:val="38D5F3FC"/>
    <w:rsid w:val="39752FA9"/>
    <w:rsid w:val="3B5EA36E"/>
    <w:rsid w:val="3C2EDA55"/>
    <w:rsid w:val="3CD00A4F"/>
    <w:rsid w:val="3D487358"/>
    <w:rsid w:val="3E4455AD"/>
    <w:rsid w:val="3E502336"/>
    <w:rsid w:val="3EF36FD6"/>
    <w:rsid w:val="416F27E2"/>
    <w:rsid w:val="41EC1F73"/>
    <w:rsid w:val="42A78CE8"/>
    <w:rsid w:val="42BD0CBE"/>
    <w:rsid w:val="43A83404"/>
    <w:rsid w:val="454A187D"/>
    <w:rsid w:val="4673AE40"/>
    <w:rsid w:val="49A62B07"/>
    <w:rsid w:val="503EB992"/>
    <w:rsid w:val="5131441E"/>
    <w:rsid w:val="5410D75D"/>
    <w:rsid w:val="54983A8D"/>
    <w:rsid w:val="55558F7D"/>
    <w:rsid w:val="5728E394"/>
    <w:rsid w:val="5842E8A6"/>
    <w:rsid w:val="5B40DF7F"/>
    <w:rsid w:val="5F0511F8"/>
    <w:rsid w:val="6110D806"/>
    <w:rsid w:val="64A70341"/>
    <w:rsid w:val="685FE504"/>
    <w:rsid w:val="73DF3276"/>
    <w:rsid w:val="76CDC466"/>
    <w:rsid w:val="78702F4F"/>
    <w:rsid w:val="7C0236FC"/>
    <w:rsid w:val="7E6E13D8"/>
    <w:rsid w:val="7E8091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Figure cap"/>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Figure cap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Light" w:hAnsi="@Yu Gothic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0527B"/>
    <w:pPr>
      <w:tabs>
        <w:tab w:val="right" w:leader="dot" w:pos="9617"/>
      </w:tabs>
      <w:spacing w:after="100"/>
    </w:pPr>
  </w:style>
  <w:style w:type="paragraph" w:styleId="TOC5">
    <w:name w:val="toc 5"/>
    <w:aliases w:val="Proposal"/>
    <w:basedOn w:val="Normal"/>
    <w:next w:val="Normal"/>
    <w:autoRedefine/>
    <w:uiPriority w:val="39"/>
    <w:unhideWhenUsed/>
    <w:rsid w:val="00E802EC"/>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paragraph" w:customStyle="1" w:styleId="B1">
    <w:name w:val="B1"/>
    <w:basedOn w:val="List"/>
    <w:link w:val="B1Char"/>
    <w:qFormat/>
    <w:rsid w:val="004A52BC"/>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rPr>
  </w:style>
  <w:style w:type="character" w:customStyle="1" w:styleId="B1Char">
    <w:name w:val="B1 Char"/>
    <w:link w:val="B1"/>
    <w:qFormat/>
    <w:rsid w:val="004A52BC"/>
    <w:rPr>
      <w:rFonts w:ascii="Times New Roman" w:eastAsia="Times New Roman" w:hAnsi="Times New Roman" w:cs="Times New Roman"/>
      <w:sz w:val="20"/>
      <w:szCs w:val="20"/>
      <w:lang w:val="en-GB"/>
    </w:rPr>
  </w:style>
  <w:style w:type="character" w:customStyle="1" w:styleId="eop">
    <w:name w:val="eop"/>
    <w:basedOn w:val="DefaultParagraphFont"/>
    <w:rsid w:val="004A52BC"/>
  </w:style>
  <w:style w:type="character" w:customStyle="1" w:styleId="normaltextrun">
    <w:name w:val="normaltextrun"/>
    <w:basedOn w:val="DefaultParagraphFont"/>
    <w:rsid w:val="004A52BC"/>
  </w:style>
  <w:style w:type="paragraph" w:customStyle="1" w:styleId="B2">
    <w:name w:val="B2"/>
    <w:basedOn w:val="List2"/>
    <w:link w:val="B2Char"/>
    <w:rsid w:val="004A52BC"/>
    <w:pPr>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rPr>
  </w:style>
  <w:style w:type="paragraph" w:customStyle="1" w:styleId="B3">
    <w:name w:val="B3"/>
    <w:basedOn w:val="List3"/>
    <w:link w:val="B3Char"/>
    <w:rsid w:val="004A52BC"/>
    <w:pPr>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rPr>
  </w:style>
  <w:style w:type="character" w:customStyle="1" w:styleId="B2Char">
    <w:name w:val="B2 Char"/>
    <w:link w:val="B2"/>
    <w:qFormat/>
    <w:rsid w:val="004A52BC"/>
    <w:rPr>
      <w:rFonts w:ascii="Times New Roman" w:eastAsia="Times New Roman" w:hAnsi="Times New Roman" w:cs="Times New Roman"/>
      <w:sz w:val="20"/>
      <w:szCs w:val="20"/>
      <w:lang w:val="en-GB"/>
    </w:rPr>
  </w:style>
  <w:style w:type="character" w:customStyle="1" w:styleId="B3Char">
    <w:name w:val="B3 Char"/>
    <w:link w:val="B3"/>
    <w:qFormat/>
    <w:locked/>
    <w:rsid w:val="004A52B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A52BC"/>
    <w:pPr>
      <w:ind w:left="283" w:hanging="283"/>
      <w:contextualSpacing/>
    </w:pPr>
  </w:style>
  <w:style w:type="paragraph" w:styleId="List2">
    <w:name w:val="List 2"/>
    <w:basedOn w:val="Normal"/>
    <w:uiPriority w:val="99"/>
    <w:semiHidden/>
    <w:unhideWhenUsed/>
    <w:rsid w:val="004A52BC"/>
    <w:pPr>
      <w:ind w:left="566" w:hanging="283"/>
      <w:contextualSpacing/>
    </w:pPr>
  </w:style>
  <w:style w:type="paragraph" w:styleId="List3">
    <w:name w:val="List 3"/>
    <w:basedOn w:val="Normal"/>
    <w:uiPriority w:val="99"/>
    <w:semiHidden/>
    <w:unhideWhenUsed/>
    <w:rsid w:val="004A52BC"/>
    <w:pPr>
      <w:ind w:left="849" w:hanging="283"/>
      <w:contextualSpacing/>
    </w:pPr>
  </w:style>
  <w:style w:type="paragraph" w:styleId="Revision">
    <w:name w:val="Revision"/>
    <w:hidden/>
    <w:uiPriority w:val="99"/>
    <w:semiHidden/>
    <w:rsid w:val="008756D3"/>
    <w:pPr>
      <w:spacing w:after="0" w:line="240" w:lineRule="auto"/>
    </w:pPr>
    <w:rPr>
      <w:rFonts w:ascii="Times New Roman" w:hAnsi="Times New Roman"/>
      <w:sz w:val="20"/>
    </w:rPr>
  </w:style>
  <w:style w:type="paragraph" w:customStyle="1" w:styleId="paragraph">
    <w:name w:val="paragraph"/>
    <w:basedOn w:val="Normal"/>
    <w:rsid w:val="0064279A"/>
    <w:pPr>
      <w:spacing w:before="100" w:beforeAutospacing="1" w:after="100" w:afterAutospacing="1" w:line="240" w:lineRule="auto"/>
      <w:jc w:val="left"/>
    </w:pPr>
    <w:rPr>
      <w:rFonts w:eastAsia="Times New Roman" w:cs="Times New Roman"/>
      <w:sz w:val="24"/>
      <w:szCs w:val="24"/>
    </w:rPr>
  </w:style>
  <w:style w:type="character" w:customStyle="1" w:styleId="ui-provider">
    <w:name w:val="ui-provider"/>
    <w:basedOn w:val="DefaultParagraphFont"/>
    <w:rsid w:val="00E80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55791">
      <w:bodyDiv w:val="1"/>
      <w:marLeft w:val="0"/>
      <w:marRight w:val="0"/>
      <w:marTop w:val="0"/>
      <w:marBottom w:val="0"/>
      <w:divBdr>
        <w:top w:val="none" w:sz="0" w:space="0" w:color="auto"/>
        <w:left w:val="none" w:sz="0" w:space="0" w:color="auto"/>
        <w:bottom w:val="none" w:sz="0" w:space="0" w:color="auto"/>
        <w:right w:val="none" w:sz="0" w:space="0" w:color="auto"/>
      </w:divBdr>
    </w:div>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3104227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5AIRPNAIUNRU-1328258698-23520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https://nokia.sharepoint.com/sites/c5g/5gradio/_layouts/15/DocIdRedir.aspx?ID=5AIRPNAIUNRU-1328258698-23520</Url>
      <Description>5AIRPNAIUNRU-1328258698-23520</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DF2934E-53BB-4EF8-86E8-766CA5A5BD69}">
  <ds:schemaRefs>
    <ds:schemaRef ds:uri="http://schemas.microsoft.com/sharepoint/events"/>
  </ds:schemaRefs>
</ds:datastoreItem>
</file>

<file path=customXml/itemProps2.xml><?xml version="1.0" encoding="utf-8"?>
<ds:datastoreItem xmlns:ds="http://schemas.openxmlformats.org/officeDocument/2006/customXml" ds:itemID="{53AEE05B-0115-4578-9D06-6596065C8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4.xml><?xml version="1.0" encoding="utf-8"?>
<ds:datastoreItem xmlns:ds="http://schemas.openxmlformats.org/officeDocument/2006/customXml" ds:itemID="{5874D970-28F3-43CB-91AF-3531ED6DD583}">
  <ds:schemaRefs>
    <ds:schemaRef ds:uri="http://schemas.openxmlformats.org/officeDocument/2006/bibliography"/>
  </ds:schemaRefs>
</ds:datastoreItem>
</file>

<file path=customXml/itemProps5.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6.xml><?xml version="1.0" encoding="utf-8"?>
<ds:datastoreItem xmlns:ds="http://schemas.openxmlformats.org/officeDocument/2006/customXml" ds:itemID="{D349F102-2FC8-4876-8188-D74D9857661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2258</Words>
  <Characters>12874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15102</CharactersWithSpaces>
  <SharedDoc>false</SharedDoc>
  <HLinks>
    <vt:vector size="78" baseType="variant">
      <vt:variant>
        <vt:i4>1310769</vt:i4>
      </vt:variant>
      <vt:variant>
        <vt:i4>65</vt:i4>
      </vt:variant>
      <vt:variant>
        <vt:i4>0</vt:i4>
      </vt:variant>
      <vt:variant>
        <vt:i4>5</vt:i4>
      </vt:variant>
      <vt:variant>
        <vt:lpwstr/>
      </vt:variant>
      <vt:variant>
        <vt:lpwstr>_Toc135046164</vt:lpwstr>
      </vt:variant>
      <vt:variant>
        <vt:i4>1310769</vt:i4>
      </vt:variant>
      <vt:variant>
        <vt:i4>62</vt:i4>
      </vt:variant>
      <vt:variant>
        <vt:i4>0</vt:i4>
      </vt:variant>
      <vt:variant>
        <vt:i4>5</vt:i4>
      </vt:variant>
      <vt:variant>
        <vt:lpwstr/>
      </vt:variant>
      <vt:variant>
        <vt:lpwstr>_Toc135046163</vt:lpwstr>
      </vt:variant>
      <vt:variant>
        <vt:i4>1310769</vt:i4>
      </vt:variant>
      <vt:variant>
        <vt:i4>59</vt:i4>
      </vt:variant>
      <vt:variant>
        <vt:i4>0</vt:i4>
      </vt:variant>
      <vt:variant>
        <vt:i4>5</vt:i4>
      </vt:variant>
      <vt:variant>
        <vt:lpwstr/>
      </vt:variant>
      <vt:variant>
        <vt:lpwstr>_Toc135046162</vt:lpwstr>
      </vt:variant>
      <vt:variant>
        <vt:i4>1310769</vt:i4>
      </vt:variant>
      <vt:variant>
        <vt:i4>56</vt:i4>
      </vt:variant>
      <vt:variant>
        <vt:i4>0</vt:i4>
      </vt:variant>
      <vt:variant>
        <vt:i4>5</vt:i4>
      </vt:variant>
      <vt:variant>
        <vt:lpwstr/>
      </vt:variant>
      <vt:variant>
        <vt:lpwstr>_Toc135046161</vt:lpwstr>
      </vt:variant>
      <vt:variant>
        <vt:i4>1310769</vt:i4>
      </vt:variant>
      <vt:variant>
        <vt:i4>53</vt:i4>
      </vt:variant>
      <vt:variant>
        <vt:i4>0</vt:i4>
      </vt:variant>
      <vt:variant>
        <vt:i4>5</vt:i4>
      </vt:variant>
      <vt:variant>
        <vt:lpwstr/>
      </vt:variant>
      <vt:variant>
        <vt:lpwstr>_Toc135046160</vt:lpwstr>
      </vt:variant>
      <vt:variant>
        <vt:i4>1507377</vt:i4>
      </vt:variant>
      <vt:variant>
        <vt:i4>50</vt:i4>
      </vt:variant>
      <vt:variant>
        <vt:i4>0</vt:i4>
      </vt:variant>
      <vt:variant>
        <vt:i4>5</vt:i4>
      </vt:variant>
      <vt:variant>
        <vt:lpwstr/>
      </vt:variant>
      <vt:variant>
        <vt:lpwstr>_Toc135046159</vt:lpwstr>
      </vt:variant>
      <vt:variant>
        <vt:i4>1507377</vt:i4>
      </vt:variant>
      <vt:variant>
        <vt:i4>47</vt:i4>
      </vt:variant>
      <vt:variant>
        <vt:i4>0</vt:i4>
      </vt:variant>
      <vt:variant>
        <vt:i4>5</vt:i4>
      </vt:variant>
      <vt:variant>
        <vt:lpwstr/>
      </vt:variant>
      <vt:variant>
        <vt:lpwstr>_Toc135046158</vt:lpwstr>
      </vt:variant>
      <vt:variant>
        <vt:i4>1507377</vt:i4>
      </vt:variant>
      <vt:variant>
        <vt:i4>44</vt:i4>
      </vt:variant>
      <vt:variant>
        <vt:i4>0</vt:i4>
      </vt:variant>
      <vt:variant>
        <vt:i4>5</vt:i4>
      </vt:variant>
      <vt:variant>
        <vt:lpwstr/>
      </vt:variant>
      <vt:variant>
        <vt:lpwstr>_Toc135046157</vt:lpwstr>
      </vt:variant>
      <vt:variant>
        <vt:i4>1507377</vt:i4>
      </vt:variant>
      <vt:variant>
        <vt:i4>41</vt:i4>
      </vt:variant>
      <vt:variant>
        <vt:i4>0</vt:i4>
      </vt:variant>
      <vt:variant>
        <vt:i4>5</vt:i4>
      </vt:variant>
      <vt:variant>
        <vt:lpwstr/>
      </vt:variant>
      <vt:variant>
        <vt:lpwstr>_Toc135046156</vt:lpwstr>
      </vt:variant>
      <vt:variant>
        <vt:i4>1507377</vt:i4>
      </vt:variant>
      <vt:variant>
        <vt:i4>38</vt:i4>
      </vt:variant>
      <vt:variant>
        <vt:i4>0</vt:i4>
      </vt:variant>
      <vt:variant>
        <vt:i4>5</vt:i4>
      </vt:variant>
      <vt:variant>
        <vt:lpwstr/>
      </vt:variant>
      <vt:variant>
        <vt:lpwstr>_Toc135046155</vt:lpwstr>
      </vt:variant>
      <vt:variant>
        <vt:i4>1507377</vt:i4>
      </vt:variant>
      <vt:variant>
        <vt:i4>35</vt:i4>
      </vt:variant>
      <vt:variant>
        <vt:i4>0</vt:i4>
      </vt:variant>
      <vt:variant>
        <vt:i4>5</vt:i4>
      </vt:variant>
      <vt:variant>
        <vt:lpwstr/>
      </vt:variant>
      <vt:variant>
        <vt:lpwstr>_Toc135046154</vt:lpwstr>
      </vt:variant>
      <vt:variant>
        <vt:i4>1507377</vt:i4>
      </vt:variant>
      <vt:variant>
        <vt:i4>32</vt:i4>
      </vt:variant>
      <vt:variant>
        <vt:i4>0</vt:i4>
      </vt:variant>
      <vt:variant>
        <vt:i4>5</vt:i4>
      </vt:variant>
      <vt:variant>
        <vt:lpwstr/>
      </vt:variant>
      <vt:variant>
        <vt:lpwstr>_Toc135046153</vt:lpwstr>
      </vt:variant>
      <vt:variant>
        <vt:i4>1507377</vt:i4>
      </vt:variant>
      <vt:variant>
        <vt:i4>29</vt:i4>
      </vt:variant>
      <vt:variant>
        <vt:i4>0</vt:i4>
      </vt:variant>
      <vt:variant>
        <vt:i4>5</vt:i4>
      </vt:variant>
      <vt:variant>
        <vt:lpwstr/>
      </vt:variant>
      <vt:variant>
        <vt:lpwstr>_Toc135046152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2023-04-07T15:19:00Z</dcterms:created>
  <dcterms:modified xsi:type="dcterms:W3CDTF">2023-05-15T17:48:00Z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345df13d-72bb-4219-addf-f6caccd231c3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Order">
    <vt:r8>2269100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Documents/RAN4 107 Incheon/Rel-18/NR_FR2_multiRx_DL/Contributions/R4-23xxxxx On MultiRx TCI state switching requirements.docx</vt:lpwstr>
  </property>
</Properties>
</file>